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21A" w:rsidRDefault="000274D5" w:rsidP="000274D5">
      <w:pPr>
        <w:spacing w:after="0" w:line="240" w:lineRule="auto"/>
        <w:jc w:val="center"/>
        <w:rPr>
          <w:rFonts w:cstheme="minorHAnsi"/>
          <w:b/>
          <w:bCs/>
          <w:lang w:val="es-DO"/>
        </w:rPr>
      </w:pPr>
      <w:r w:rsidRPr="00DB7466">
        <w:rPr>
          <w:rFonts w:cstheme="minorHAnsi"/>
          <w:b/>
          <w:bCs/>
          <w:lang w:val="es-DO"/>
        </w:rPr>
        <w:t xml:space="preserve">DATOS SOBRE LA </w:t>
      </w:r>
      <w:r>
        <w:rPr>
          <w:rFonts w:cstheme="minorHAnsi"/>
          <w:b/>
          <w:bCs/>
          <w:lang w:val="es-DO"/>
        </w:rPr>
        <w:t xml:space="preserve">IMPLEMENTACIÓN DE ESTAS MEDIDAS APORTADOS POR </w:t>
      </w:r>
      <w:r w:rsidRPr="000274D5">
        <w:rPr>
          <w:rFonts w:cstheme="minorHAnsi"/>
          <w:b/>
          <w:bCs/>
          <w:lang w:val="es-DO"/>
        </w:rPr>
        <w:t>LA DIRECCIÓN GENERAL DE CONTRATACIONES PÚBLICAS</w:t>
      </w:r>
    </w:p>
    <w:p w:rsidR="00DB7466" w:rsidRPr="00DB7466" w:rsidRDefault="00DB7466" w:rsidP="00FB51B2">
      <w:pPr>
        <w:spacing w:after="0" w:line="240" w:lineRule="auto"/>
        <w:jc w:val="both"/>
        <w:rPr>
          <w:rFonts w:cstheme="minorHAnsi"/>
          <w:b/>
          <w:bCs/>
          <w:lang w:val="es-DO"/>
        </w:rPr>
      </w:pPr>
    </w:p>
    <w:p w:rsidR="008416CA" w:rsidRDefault="008416CA" w:rsidP="00FB51B2">
      <w:pPr>
        <w:spacing w:after="0" w:line="240" w:lineRule="auto"/>
        <w:jc w:val="both"/>
        <w:rPr>
          <w:rFonts w:cstheme="minorHAnsi"/>
          <w:b/>
          <w:bCs/>
          <w:u w:val="single"/>
          <w:lang w:val="es-DO"/>
        </w:rPr>
      </w:pPr>
      <w:r w:rsidRPr="00074EFA">
        <w:rPr>
          <w:rFonts w:cstheme="minorHAnsi"/>
          <w:lang w:val="es-DO"/>
        </w:rPr>
        <w:t xml:space="preserve"> </w:t>
      </w:r>
      <w:r w:rsidRPr="00DB7466">
        <w:rPr>
          <w:rFonts w:cstheme="minorHAnsi"/>
          <w:b/>
          <w:bCs/>
          <w:u w:val="single"/>
          <w:lang w:val="es-DO"/>
        </w:rPr>
        <w:t xml:space="preserve">- Número de procedimiento de emergencia </w:t>
      </w:r>
      <w:r w:rsidR="00E048A7">
        <w:rPr>
          <w:rFonts w:cstheme="minorHAnsi"/>
          <w:b/>
          <w:bCs/>
          <w:u w:val="single"/>
          <w:lang w:val="es-DO"/>
        </w:rPr>
        <w:t xml:space="preserve">cuya convocatoria a presentar ofertas fue </w:t>
      </w:r>
      <w:r w:rsidR="003C3287">
        <w:rPr>
          <w:rFonts w:cstheme="minorHAnsi"/>
          <w:b/>
          <w:bCs/>
          <w:u w:val="single"/>
          <w:lang w:val="es-DO"/>
        </w:rPr>
        <w:t>pública</w:t>
      </w:r>
      <w:r w:rsidR="00E048A7">
        <w:rPr>
          <w:rFonts w:cstheme="minorHAnsi"/>
          <w:b/>
          <w:bCs/>
          <w:u w:val="single"/>
          <w:lang w:val="es-DO"/>
        </w:rPr>
        <w:t>.</w:t>
      </w:r>
    </w:p>
    <w:p w:rsidR="003C3287" w:rsidRPr="00DB7466" w:rsidRDefault="003C3287" w:rsidP="00FB51B2">
      <w:pPr>
        <w:spacing w:after="0" w:line="240" w:lineRule="auto"/>
        <w:jc w:val="both"/>
        <w:rPr>
          <w:rFonts w:cstheme="minorHAnsi"/>
          <w:b/>
          <w:bCs/>
          <w:u w:val="single"/>
          <w:lang w:val="es-DO"/>
        </w:rPr>
      </w:pPr>
      <w:bookmarkStart w:id="0" w:name="_GoBack"/>
      <w:bookmarkEnd w:id="0"/>
    </w:p>
    <w:p w:rsidR="00B847D4" w:rsidRDefault="00B847D4" w:rsidP="00FB51B2">
      <w:pPr>
        <w:spacing w:after="0" w:line="240" w:lineRule="auto"/>
        <w:jc w:val="both"/>
        <w:rPr>
          <w:rFonts w:cstheme="minorHAnsi"/>
          <w:lang w:val="es-DO"/>
        </w:rPr>
      </w:pPr>
      <w:r w:rsidRPr="00074EFA">
        <w:rPr>
          <w:rFonts w:cstheme="minorHAnsi"/>
          <w:lang w:val="es-DO"/>
        </w:rPr>
        <w:t>El siguiente cuadro muestra la cantidad de procedimientos de emergencia que han sido publicados desde el 12 de marzo hasta el cierre del 14 de junio. El 77% de estos procedimientos, equivalente a 123, se encuentran en estado adjudicado y celebrado.</w:t>
      </w:r>
      <w:r w:rsidR="00E048A7">
        <w:rPr>
          <w:rFonts w:cstheme="minorHAnsi"/>
          <w:lang w:val="es-DO"/>
        </w:rPr>
        <w:t xml:space="preserve"> En total se han convocado </w:t>
      </w:r>
      <w:r w:rsidR="003C3287">
        <w:rPr>
          <w:rFonts w:cstheme="minorHAnsi"/>
          <w:lang w:val="es-DO"/>
        </w:rPr>
        <w:t>159 procedimientos</w:t>
      </w:r>
      <w:r w:rsidR="00E048A7">
        <w:rPr>
          <w:rFonts w:cstheme="minorHAnsi"/>
          <w:lang w:val="es-DO"/>
        </w:rPr>
        <w:t xml:space="preserve"> de emergencia</w:t>
      </w:r>
      <w:r w:rsidR="000D206C">
        <w:rPr>
          <w:rFonts w:cstheme="minorHAnsi"/>
          <w:lang w:val="es-DO"/>
        </w:rPr>
        <w:t xml:space="preserve"> de los cuales se derivaron más de 655 contratos.</w:t>
      </w:r>
    </w:p>
    <w:p w:rsidR="00DB7466" w:rsidRPr="00074EFA" w:rsidRDefault="00DB7466" w:rsidP="00FB51B2">
      <w:pPr>
        <w:spacing w:after="0" w:line="240" w:lineRule="auto"/>
        <w:jc w:val="both"/>
        <w:rPr>
          <w:rFonts w:cstheme="minorHAnsi"/>
          <w:lang w:val="es-DO"/>
        </w:rPr>
      </w:pPr>
    </w:p>
    <w:p w:rsidR="00913248" w:rsidRPr="00074EFA" w:rsidRDefault="00B847D4" w:rsidP="00DB7466">
      <w:pPr>
        <w:spacing w:after="0" w:line="240" w:lineRule="auto"/>
        <w:jc w:val="center"/>
        <w:rPr>
          <w:rFonts w:cstheme="minorHAnsi"/>
          <w:lang w:val="es-DO"/>
        </w:rPr>
      </w:pPr>
      <w:r w:rsidRPr="00074EFA">
        <w:rPr>
          <w:rFonts w:cstheme="minorHAnsi"/>
          <w:noProof/>
          <w:lang w:eastAsia="es-ES"/>
        </w:rPr>
        <w:drawing>
          <wp:inline distT="0" distB="0" distL="0" distR="0" wp14:anchorId="7C1CA22B">
            <wp:extent cx="6218304" cy="247834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23" cy="2520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7D4" w:rsidRPr="00DB7466" w:rsidRDefault="00B847D4" w:rsidP="00DB7466">
      <w:pPr>
        <w:spacing w:after="0" w:line="240" w:lineRule="auto"/>
        <w:rPr>
          <w:rFonts w:cstheme="minorHAnsi"/>
          <w:sz w:val="20"/>
          <w:szCs w:val="20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 w:rsidR="00DB7466"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</w:t>
      </w:r>
      <w:r w:rsidR="00BB1389" w:rsidRPr="00DB7466">
        <w:rPr>
          <w:rFonts w:cstheme="minorHAnsi"/>
          <w:sz w:val="16"/>
          <w:szCs w:val="16"/>
          <w:lang w:val="es-DO"/>
        </w:rPr>
        <w:t>junio</w:t>
      </w:r>
      <w:r w:rsidRPr="00DB7466">
        <w:rPr>
          <w:rFonts w:cstheme="minorHAnsi"/>
          <w:sz w:val="16"/>
          <w:szCs w:val="16"/>
          <w:lang w:val="es-DO"/>
        </w:rPr>
        <w:t xml:space="preserve"> 2020</w:t>
      </w:r>
      <w:r w:rsidR="00DB7466">
        <w:rPr>
          <w:rFonts w:cstheme="minorHAnsi"/>
          <w:sz w:val="16"/>
          <w:szCs w:val="16"/>
          <w:lang w:val="es-DO"/>
        </w:rPr>
        <w:t>.</w:t>
      </w:r>
    </w:p>
    <w:p w:rsidR="00B847D4" w:rsidRPr="00074EFA" w:rsidRDefault="00B847D4" w:rsidP="00FB51B2">
      <w:pPr>
        <w:spacing w:after="0" w:line="240" w:lineRule="auto"/>
        <w:jc w:val="both"/>
        <w:rPr>
          <w:rFonts w:cstheme="minorHAnsi"/>
          <w:lang w:val="es-DO"/>
        </w:rPr>
      </w:pPr>
    </w:p>
    <w:p w:rsidR="00DB7466" w:rsidRDefault="00DB7466">
      <w:pPr>
        <w:rPr>
          <w:rFonts w:cstheme="minorHAnsi"/>
          <w:lang w:val="es-DO"/>
        </w:rPr>
      </w:pPr>
      <w:r>
        <w:rPr>
          <w:rFonts w:cstheme="minorHAnsi"/>
          <w:lang w:val="es-DO"/>
        </w:rPr>
        <w:br w:type="page"/>
      </w:r>
    </w:p>
    <w:p w:rsidR="00B847D4" w:rsidRDefault="00DB7466" w:rsidP="00FB51B2">
      <w:pPr>
        <w:spacing w:after="0" w:line="240" w:lineRule="auto"/>
        <w:jc w:val="both"/>
        <w:rPr>
          <w:rFonts w:cstheme="minorHAnsi"/>
          <w:lang w:val="es-DO"/>
        </w:rPr>
      </w:pPr>
      <w:r>
        <w:rPr>
          <w:rFonts w:cstheme="minorHAnsi"/>
          <w:lang w:val="es-DO"/>
        </w:rPr>
        <w:lastRenderedPageBreak/>
        <w:t xml:space="preserve">A continuación, se </w:t>
      </w:r>
      <w:r w:rsidR="00B847D4" w:rsidRPr="00074EFA">
        <w:rPr>
          <w:rFonts w:cstheme="minorHAnsi"/>
          <w:lang w:val="es-DO"/>
        </w:rPr>
        <w:t xml:space="preserve">muestra el plazo promedio entre la publicación y la recepción de ofertas </w:t>
      </w:r>
      <w:r>
        <w:rPr>
          <w:rFonts w:cstheme="minorHAnsi"/>
          <w:lang w:val="es-DO"/>
        </w:rPr>
        <w:t>a partir d</w:t>
      </w:r>
      <w:r w:rsidR="00B847D4" w:rsidRPr="00074EFA">
        <w:rPr>
          <w:rFonts w:cstheme="minorHAnsi"/>
          <w:lang w:val="es-DO"/>
        </w:rPr>
        <w:t>el 12 de marzo hasta el 22 de abril</w:t>
      </w:r>
      <w:r>
        <w:rPr>
          <w:rFonts w:cstheme="minorHAnsi"/>
          <w:lang w:val="es-DO"/>
        </w:rPr>
        <w:t>,</w:t>
      </w:r>
      <w:r w:rsidR="00B847D4" w:rsidRPr="00074EFA">
        <w:rPr>
          <w:rFonts w:cstheme="minorHAnsi"/>
          <w:lang w:val="es-DO"/>
        </w:rPr>
        <w:t xml:space="preserve"> el cual fue de un (1) día promedio. Posterior a la publicación de la Guía de </w:t>
      </w:r>
      <w:r>
        <w:rPr>
          <w:rFonts w:cstheme="minorHAnsi"/>
          <w:lang w:val="es-DO"/>
        </w:rPr>
        <w:t>C</w:t>
      </w:r>
      <w:r w:rsidR="00B847D4" w:rsidRPr="00074EFA">
        <w:rPr>
          <w:rFonts w:cstheme="minorHAnsi"/>
          <w:lang w:val="es-DO"/>
        </w:rPr>
        <w:t xml:space="preserve">ompras y </w:t>
      </w:r>
      <w:r>
        <w:rPr>
          <w:rFonts w:cstheme="minorHAnsi"/>
          <w:lang w:val="es-DO"/>
        </w:rPr>
        <w:t>C</w:t>
      </w:r>
      <w:r w:rsidR="00B847D4" w:rsidRPr="00074EFA">
        <w:rPr>
          <w:rFonts w:cstheme="minorHAnsi"/>
          <w:lang w:val="es-DO"/>
        </w:rPr>
        <w:t xml:space="preserve">ontrataciones de </w:t>
      </w:r>
      <w:r>
        <w:rPr>
          <w:rFonts w:cstheme="minorHAnsi"/>
          <w:lang w:val="es-DO"/>
        </w:rPr>
        <w:t>E</w:t>
      </w:r>
      <w:r w:rsidR="00B847D4" w:rsidRPr="00074EFA">
        <w:rPr>
          <w:rFonts w:cstheme="minorHAnsi"/>
          <w:lang w:val="es-DO"/>
        </w:rPr>
        <w:t>mergencia el 22 de abril, el plazo promedio se incrementó a tres (3) días, desde el 23 de abril hasta el 14 de junio de 2020.</w:t>
      </w:r>
    </w:p>
    <w:p w:rsidR="00DB7466" w:rsidRPr="00074EFA" w:rsidRDefault="00DB7466" w:rsidP="00FB51B2">
      <w:pPr>
        <w:spacing w:after="0" w:line="240" w:lineRule="auto"/>
        <w:jc w:val="both"/>
        <w:rPr>
          <w:rFonts w:cstheme="minorHAnsi"/>
          <w:lang w:val="es-DO"/>
        </w:rPr>
      </w:pPr>
    </w:p>
    <w:p w:rsidR="00E048A7" w:rsidRPr="00E048A7" w:rsidRDefault="00E048A7" w:rsidP="00E048A7">
      <w:pPr>
        <w:spacing w:after="0" w:line="240" w:lineRule="auto"/>
        <w:jc w:val="center"/>
        <w:rPr>
          <w:rFonts w:cstheme="minorHAnsi"/>
          <w:lang w:val="es-DO"/>
        </w:rPr>
      </w:pPr>
      <w:r w:rsidRPr="00EB74D6">
        <w:rPr>
          <w:rFonts w:cstheme="minorHAnsi"/>
          <w:noProof/>
          <w:lang w:eastAsia="es-ES"/>
        </w:rPr>
        <w:drawing>
          <wp:inline distT="0" distB="0" distL="0" distR="0" wp14:anchorId="526A94BF" wp14:editId="5DD93881">
            <wp:extent cx="5400040" cy="3037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8A7" w:rsidRDefault="00E048A7" w:rsidP="00DB7466">
      <w:pPr>
        <w:spacing w:after="0" w:line="240" w:lineRule="auto"/>
        <w:rPr>
          <w:rFonts w:cstheme="minorHAnsi"/>
          <w:sz w:val="16"/>
          <w:szCs w:val="16"/>
          <w:lang w:val="es-DO"/>
        </w:rPr>
      </w:pPr>
    </w:p>
    <w:p w:rsidR="00B847D4" w:rsidRPr="00DB7466" w:rsidRDefault="00DB7466" w:rsidP="00DB7466">
      <w:pPr>
        <w:spacing w:after="0" w:line="240" w:lineRule="auto"/>
        <w:rPr>
          <w:rFonts w:cstheme="minorHAnsi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junio 2020</w:t>
      </w:r>
      <w:r>
        <w:rPr>
          <w:rFonts w:cstheme="minorHAnsi"/>
          <w:sz w:val="16"/>
          <w:szCs w:val="16"/>
          <w:lang w:val="es-DO"/>
        </w:rPr>
        <w:t>.</w:t>
      </w:r>
    </w:p>
    <w:p w:rsidR="00913248" w:rsidRPr="00074EFA" w:rsidRDefault="00913248" w:rsidP="00FB51B2">
      <w:pPr>
        <w:spacing w:after="0" w:line="240" w:lineRule="auto"/>
        <w:jc w:val="both"/>
        <w:rPr>
          <w:rFonts w:cstheme="minorHAnsi"/>
          <w:lang w:val="es-DO"/>
        </w:rPr>
      </w:pPr>
    </w:p>
    <w:p w:rsidR="00B847D4" w:rsidRPr="00DB7466" w:rsidRDefault="008416CA" w:rsidP="00FB51B2">
      <w:pPr>
        <w:spacing w:after="0" w:line="240" w:lineRule="auto"/>
        <w:jc w:val="both"/>
        <w:rPr>
          <w:rFonts w:cstheme="minorHAnsi"/>
          <w:b/>
          <w:bCs/>
          <w:u w:val="single"/>
          <w:lang w:val="es-DO"/>
        </w:rPr>
      </w:pPr>
      <w:r w:rsidRPr="00DB7466">
        <w:rPr>
          <w:rFonts w:cstheme="minorHAnsi"/>
          <w:b/>
          <w:bCs/>
          <w:u w:val="single"/>
          <w:lang w:val="es-DO"/>
        </w:rPr>
        <w:t xml:space="preserve"> - Número de ofertantes</w:t>
      </w:r>
    </w:p>
    <w:p w:rsidR="00913248" w:rsidRDefault="00DB7466" w:rsidP="00FB51B2">
      <w:pPr>
        <w:spacing w:after="0" w:line="240" w:lineRule="auto"/>
        <w:jc w:val="both"/>
        <w:rPr>
          <w:rFonts w:cstheme="minorHAnsi"/>
          <w:lang w:val="es-DO"/>
        </w:rPr>
      </w:pPr>
      <w:r>
        <w:rPr>
          <w:rFonts w:cstheme="minorHAnsi"/>
          <w:lang w:val="es-DO"/>
        </w:rPr>
        <w:t>C</w:t>
      </w:r>
      <w:r w:rsidR="00913248" w:rsidRPr="00074EFA">
        <w:rPr>
          <w:rFonts w:cstheme="minorHAnsi"/>
          <w:lang w:val="es-DO"/>
        </w:rPr>
        <w:t xml:space="preserve">on respecto a las instituciones públicas amparadas en los Decretos Núm. 87-20, 133-20 y 144-20, </w:t>
      </w:r>
      <w:r>
        <w:rPr>
          <w:rFonts w:cstheme="minorHAnsi"/>
          <w:lang w:val="es-DO"/>
        </w:rPr>
        <w:t xml:space="preserve">en la tabla siguiente se puede identificar </w:t>
      </w:r>
      <w:r w:rsidR="00913248" w:rsidRPr="00074EFA">
        <w:rPr>
          <w:rFonts w:cstheme="minorHAnsi"/>
          <w:lang w:val="es-DO"/>
        </w:rPr>
        <w:t xml:space="preserve">la cantidad de ofertas </w:t>
      </w:r>
      <w:r w:rsidR="00E048A7">
        <w:rPr>
          <w:rFonts w:cstheme="minorHAnsi"/>
          <w:lang w:val="es-DO"/>
        </w:rPr>
        <w:t>recibidas</w:t>
      </w:r>
      <w:r w:rsidR="00913248" w:rsidRPr="00074EFA">
        <w:rPr>
          <w:rFonts w:cstheme="minorHAnsi"/>
          <w:lang w:val="es-DO"/>
        </w:rPr>
        <w:t xml:space="preserve"> en procedimientos de compras que actualmente se encuentran activos, la cantidad de contratos activos derivados de los procedimientos de compras de cada institución, la especificación de si estos son nuevos proveedores</w:t>
      </w:r>
      <w:r>
        <w:rPr>
          <w:rFonts w:cstheme="minorHAnsi"/>
          <w:lang w:val="es-DO"/>
        </w:rPr>
        <w:t xml:space="preserve"> (as)</w:t>
      </w:r>
      <w:r w:rsidR="00913248" w:rsidRPr="00074EFA">
        <w:rPr>
          <w:rFonts w:cstheme="minorHAnsi"/>
          <w:lang w:val="es-DO"/>
        </w:rPr>
        <w:t xml:space="preserve"> </w:t>
      </w:r>
      <w:r>
        <w:rPr>
          <w:rFonts w:cstheme="minorHAnsi"/>
          <w:lang w:val="es-DO"/>
        </w:rPr>
        <w:t>(l</w:t>
      </w:r>
      <w:r w:rsidR="00913248" w:rsidRPr="00074EFA">
        <w:rPr>
          <w:rFonts w:cstheme="minorHAnsi"/>
          <w:lang w:val="es-DO"/>
        </w:rPr>
        <w:t>os cuales se han inscrito a partir de marzo 2020</w:t>
      </w:r>
      <w:r>
        <w:rPr>
          <w:rFonts w:cstheme="minorHAnsi"/>
          <w:lang w:val="es-DO"/>
        </w:rPr>
        <w:t>,</w:t>
      </w:r>
      <w:r w:rsidR="00913248" w:rsidRPr="00074EFA">
        <w:rPr>
          <w:rFonts w:cstheme="minorHAnsi"/>
          <w:lang w:val="es-DO"/>
        </w:rPr>
        <w:t xml:space="preserve"> cuando inició el estado de emergencia y los montos actualmente contratados</w:t>
      </w:r>
      <w:r>
        <w:rPr>
          <w:rFonts w:cstheme="minorHAnsi"/>
          <w:lang w:val="es-DO"/>
        </w:rPr>
        <w:t>)</w:t>
      </w:r>
      <w:r w:rsidR="00913248" w:rsidRPr="00074EFA">
        <w:rPr>
          <w:rFonts w:cstheme="minorHAnsi"/>
          <w:lang w:val="es-DO"/>
        </w:rPr>
        <w:t>.</w:t>
      </w:r>
      <w:r w:rsidR="00C42761" w:rsidRPr="00074EFA">
        <w:rPr>
          <w:rFonts w:cstheme="minorHAnsi"/>
          <w:lang w:val="es-DO"/>
        </w:rPr>
        <w:t xml:space="preserve"> En cuanto a procedimientos activos, se han recibido 1,288 ofertas</w:t>
      </w:r>
      <w:r>
        <w:rPr>
          <w:rFonts w:cstheme="minorHAnsi"/>
          <w:lang w:val="es-DO"/>
        </w:rPr>
        <w:t>,</w:t>
      </w:r>
      <w:r w:rsidR="00C42761" w:rsidRPr="00074EFA">
        <w:rPr>
          <w:rFonts w:cstheme="minorHAnsi"/>
          <w:lang w:val="es-DO"/>
        </w:rPr>
        <w:t xml:space="preserve"> </w:t>
      </w:r>
      <w:r>
        <w:rPr>
          <w:rFonts w:cstheme="minorHAnsi"/>
          <w:lang w:val="es-DO"/>
        </w:rPr>
        <w:t>que a su vez</w:t>
      </w:r>
      <w:r w:rsidR="00C42761" w:rsidRPr="00074EFA">
        <w:rPr>
          <w:rFonts w:cstheme="minorHAnsi"/>
          <w:lang w:val="es-DO"/>
        </w:rPr>
        <w:t xml:space="preserve"> han generado 565 contratos por un monto total de </w:t>
      </w:r>
      <w:r w:rsidR="00EA4D63">
        <w:rPr>
          <w:rFonts w:cstheme="minorHAnsi"/>
          <w:highlight w:val="yellow"/>
          <w:lang w:val="es-DO"/>
        </w:rPr>
        <w:t xml:space="preserve">EUR </w:t>
      </w:r>
      <w:r w:rsidR="00EA4D63">
        <w:rPr>
          <w:rFonts w:cstheme="minorHAnsi"/>
          <w:lang w:val="es-DO"/>
        </w:rPr>
        <w:t>161,306,769</w:t>
      </w:r>
      <w:r w:rsidR="00C42761" w:rsidRPr="00074EFA">
        <w:rPr>
          <w:rFonts w:cstheme="minorHAnsi"/>
          <w:lang w:val="es-DO"/>
        </w:rPr>
        <w:t>.</w:t>
      </w:r>
    </w:p>
    <w:p w:rsidR="00541DF8" w:rsidRPr="00074EFA" w:rsidRDefault="00541DF8" w:rsidP="00FB51B2">
      <w:pPr>
        <w:spacing w:after="0" w:line="240" w:lineRule="auto"/>
        <w:jc w:val="both"/>
        <w:rPr>
          <w:rFonts w:cstheme="minorHAnsi"/>
          <w:lang w:val="es-DO"/>
        </w:rPr>
      </w:pPr>
    </w:p>
    <w:p w:rsidR="00913248" w:rsidRPr="00074EFA" w:rsidRDefault="00F6464B" w:rsidP="00EA4D63">
      <w:pPr>
        <w:spacing w:after="0" w:line="240" w:lineRule="auto"/>
        <w:ind w:hanging="1134"/>
        <w:jc w:val="center"/>
        <w:rPr>
          <w:rFonts w:cstheme="minorHAnsi"/>
          <w:lang w:val="es-DO"/>
        </w:rPr>
      </w:pPr>
      <w:r w:rsidRPr="00074EFA">
        <w:rPr>
          <w:rFonts w:cstheme="minorHAnsi"/>
          <w:noProof/>
          <w:lang w:eastAsia="es-ES"/>
        </w:rPr>
        <w:drawing>
          <wp:inline distT="0" distB="0" distL="0" distR="0">
            <wp:extent cx="6715236" cy="1581149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36" cy="15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B9" w:rsidRPr="00074EFA" w:rsidRDefault="00541DF8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junio 2020</w:t>
      </w:r>
      <w:r>
        <w:rPr>
          <w:rFonts w:cstheme="minorHAnsi"/>
          <w:sz w:val="16"/>
          <w:szCs w:val="16"/>
          <w:lang w:val="es-DO"/>
        </w:rPr>
        <w:t>.</w:t>
      </w:r>
    </w:p>
    <w:p w:rsidR="004015B9" w:rsidRPr="00541DF8" w:rsidRDefault="004015B9" w:rsidP="00541DF8">
      <w:pPr>
        <w:tabs>
          <w:tab w:val="left" w:pos="8565"/>
        </w:tabs>
        <w:spacing w:after="0" w:line="240" w:lineRule="auto"/>
        <w:rPr>
          <w:rFonts w:cstheme="minorHAnsi"/>
          <w:sz w:val="14"/>
          <w:szCs w:val="14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4015B9" w:rsidRDefault="004015B9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  <w:r w:rsidRPr="00074EFA">
        <w:rPr>
          <w:rFonts w:cstheme="minorHAnsi"/>
          <w:lang w:val="es-DO"/>
        </w:rPr>
        <w:t>El siguiente cuadro muestra la cantidad de nuevos</w:t>
      </w:r>
      <w:r w:rsidR="00541DF8">
        <w:rPr>
          <w:rFonts w:cstheme="minorHAnsi"/>
          <w:lang w:val="es-DO"/>
        </w:rPr>
        <w:t xml:space="preserve"> (as)</w:t>
      </w:r>
      <w:r w:rsidRPr="00074EFA">
        <w:rPr>
          <w:rFonts w:cstheme="minorHAnsi"/>
          <w:lang w:val="es-DO"/>
        </w:rPr>
        <w:t xml:space="preserve"> proveedores</w:t>
      </w:r>
      <w:r w:rsidR="00541DF8">
        <w:rPr>
          <w:rFonts w:cstheme="minorHAnsi"/>
          <w:lang w:val="es-DO"/>
        </w:rPr>
        <w:t xml:space="preserve"> (as)</w:t>
      </w:r>
      <w:r w:rsidRPr="00074EFA">
        <w:rPr>
          <w:rFonts w:cstheme="minorHAnsi"/>
          <w:lang w:val="es-DO"/>
        </w:rPr>
        <w:t xml:space="preserve"> inscritos</w:t>
      </w:r>
      <w:r w:rsidR="00541DF8">
        <w:rPr>
          <w:rFonts w:cstheme="minorHAnsi"/>
          <w:lang w:val="es-DO"/>
        </w:rPr>
        <w:t xml:space="preserve"> (as),</w:t>
      </w:r>
      <w:r w:rsidRPr="00074EFA">
        <w:rPr>
          <w:rFonts w:cstheme="minorHAnsi"/>
          <w:lang w:val="es-DO"/>
        </w:rPr>
        <w:t xml:space="preserve"> a partir del inicio del estado de emergencia</w:t>
      </w:r>
      <w:r w:rsidR="00541DF8">
        <w:rPr>
          <w:rFonts w:cstheme="minorHAnsi"/>
          <w:lang w:val="es-DO"/>
        </w:rPr>
        <w:t>,</w:t>
      </w:r>
      <w:r w:rsidRPr="00074EFA">
        <w:rPr>
          <w:rFonts w:cstheme="minorHAnsi"/>
          <w:lang w:val="es-DO"/>
        </w:rPr>
        <w:t xml:space="preserve"> clasificado por género. </w:t>
      </w:r>
    </w:p>
    <w:p w:rsidR="00541DF8" w:rsidRPr="00541DF8" w:rsidRDefault="00541DF8" w:rsidP="00541DF8">
      <w:pPr>
        <w:tabs>
          <w:tab w:val="left" w:pos="8565"/>
        </w:tabs>
        <w:spacing w:after="0" w:line="240" w:lineRule="auto"/>
        <w:rPr>
          <w:rFonts w:cstheme="minorHAnsi"/>
          <w:sz w:val="16"/>
          <w:szCs w:val="16"/>
          <w:lang w:val="es-DO"/>
        </w:rPr>
      </w:pPr>
    </w:p>
    <w:tbl>
      <w:tblPr>
        <w:tblW w:w="3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120"/>
      </w:tblGrid>
      <w:tr w:rsidR="00FB51B2" w:rsidRPr="00541DF8" w:rsidTr="004015B9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2F75B5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es-DO" w:eastAsia="es-DO"/>
              </w:rPr>
              <w:t>Género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2F75B5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es-DO" w:eastAsia="es-DO"/>
              </w:rPr>
              <w:t>Cantidad</w:t>
            </w:r>
          </w:p>
        </w:tc>
      </w:tr>
      <w:tr w:rsidR="00FB51B2" w:rsidRPr="00541DF8" w:rsidTr="004015B9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sz w:val="20"/>
                <w:szCs w:val="20"/>
                <w:lang w:val="es-DO" w:eastAsia="es-DO"/>
              </w:rPr>
              <w:t>Femenino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sz w:val="20"/>
                <w:szCs w:val="20"/>
                <w:lang w:val="es-DO" w:eastAsia="es-DO"/>
              </w:rPr>
              <w:t>223</w:t>
            </w:r>
          </w:p>
        </w:tc>
      </w:tr>
      <w:tr w:rsidR="00FB51B2" w:rsidRPr="00541DF8" w:rsidTr="004015B9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sz w:val="20"/>
                <w:szCs w:val="20"/>
                <w:lang w:val="es-DO" w:eastAsia="es-DO"/>
              </w:rPr>
              <w:t>Masculino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sz w:val="20"/>
                <w:szCs w:val="20"/>
                <w:lang w:val="es-DO" w:eastAsia="es-DO"/>
              </w:rPr>
              <w:t>543</w:t>
            </w:r>
          </w:p>
        </w:tc>
      </w:tr>
      <w:tr w:rsidR="00FB51B2" w:rsidRPr="00541DF8" w:rsidTr="00541DF8">
        <w:trPr>
          <w:trHeight w:val="149"/>
          <w:jc w:val="center"/>
        </w:trPr>
        <w:tc>
          <w:tcPr>
            <w:tcW w:w="17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b/>
                <w:bCs/>
                <w:sz w:val="20"/>
                <w:szCs w:val="20"/>
                <w:lang w:val="es-DO" w:eastAsia="es-DO"/>
              </w:rPr>
              <w:t>Total general</w:t>
            </w:r>
          </w:p>
        </w:tc>
        <w:tc>
          <w:tcPr>
            <w:tcW w:w="21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4015B9" w:rsidRPr="00541DF8" w:rsidRDefault="004015B9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s-DO" w:eastAsia="es-DO"/>
              </w:rPr>
            </w:pPr>
            <w:r w:rsidRPr="00541DF8">
              <w:rPr>
                <w:rFonts w:eastAsia="Times New Roman" w:cstheme="minorHAnsi"/>
                <w:b/>
                <w:bCs/>
                <w:sz w:val="20"/>
                <w:szCs w:val="20"/>
                <w:lang w:val="es-DO" w:eastAsia="es-DO"/>
              </w:rPr>
              <w:t>766</w:t>
            </w:r>
          </w:p>
        </w:tc>
      </w:tr>
    </w:tbl>
    <w:p w:rsidR="00541DF8" w:rsidRPr="00541DF8" w:rsidRDefault="00541DF8" w:rsidP="00541DF8">
      <w:pPr>
        <w:spacing w:after="0" w:line="240" w:lineRule="auto"/>
        <w:rPr>
          <w:rFonts w:cstheme="minorHAnsi"/>
          <w:sz w:val="12"/>
          <w:szCs w:val="12"/>
          <w:lang w:val="es-DO"/>
        </w:rPr>
      </w:pPr>
    </w:p>
    <w:p w:rsidR="006858E0" w:rsidRPr="00541DF8" w:rsidRDefault="00541DF8" w:rsidP="00541DF8">
      <w:pPr>
        <w:spacing w:after="0" w:line="240" w:lineRule="auto"/>
        <w:ind w:left="1416" w:firstLine="708"/>
        <w:rPr>
          <w:rFonts w:cstheme="minorHAnsi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junio 2020</w:t>
      </w:r>
      <w:r>
        <w:rPr>
          <w:rFonts w:cstheme="minorHAnsi"/>
          <w:sz w:val="16"/>
          <w:szCs w:val="16"/>
          <w:lang w:val="es-DO"/>
        </w:rPr>
        <w:t>.</w:t>
      </w:r>
    </w:p>
    <w:p w:rsidR="00E048A7" w:rsidRDefault="00E048A7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541DF8" w:rsidRDefault="00541DF8" w:rsidP="00541DF8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  <w:r>
        <w:rPr>
          <w:rFonts w:cstheme="minorHAnsi"/>
          <w:lang w:val="es-DO"/>
        </w:rPr>
        <w:t>Por otr</w:t>
      </w:r>
      <w:r w:rsidR="00E048A7">
        <w:rPr>
          <w:rFonts w:cstheme="minorHAnsi"/>
          <w:lang w:val="es-DO"/>
        </w:rPr>
        <w:t>a parte</w:t>
      </w:r>
      <w:r>
        <w:rPr>
          <w:rFonts w:cstheme="minorHAnsi"/>
          <w:lang w:val="es-DO"/>
        </w:rPr>
        <w:t>, e</w:t>
      </w:r>
      <w:r w:rsidR="004015B9" w:rsidRPr="00074EFA">
        <w:rPr>
          <w:rFonts w:cstheme="minorHAnsi"/>
          <w:lang w:val="es-DO"/>
        </w:rPr>
        <w:t>l siguiente gráfico de pastel muestra que el 29% corresponde a nuevas mujeres proveedoras inscritas</w:t>
      </w:r>
      <w:r>
        <w:rPr>
          <w:rFonts w:cstheme="minorHAnsi"/>
          <w:lang w:val="es-DO"/>
        </w:rPr>
        <w:t>,</w:t>
      </w:r>
      <w:r w:rsidR="004015B9" w:rsidRPr="00074EFA">
        <w:rPr>
          <w:rFonts w:cstheme="minorHAnsi"/>
          <w:lang w:val="es-DO"/>
        </w:rPr>
        <w:t xml:space="preserve"> y el 71% a nuevos proveedores inscritos.</w:t>
      </w:r>
    </w:p>
    <w:p w:rsidR="00541DF8" w:rsidRPr="00541DF8" w:rsidRDefault="00541DF8" w:rsidP="00541DF8">
      <w:pPr>
        <w:tabs>
          <w:tab w:val="left" w:pos="8565"/>
        </w:tabs>
        <w:spacing w:after="0" w:line="240" w:lineRule="auto"/>
        <w:rPr>
          <w:rFonts w:cstheme="minorHAnsi"/>
          <w:sz w:val="8"/>
          <w:szCs w:val="8"/>
          <w:lang w:val="es-DO"/>
        </w:rPr>
      </w:pPr>
    </w:p>
    <w:p w:rsidR="00F011C1" w:rsidRPr="00074EFA" w:rsidRDefault="004015B9" w:rsidP="00541DF8">
      <w:pPr>
        <w:tabs>
          <w:tab w:val="left" w:pos="8565"/>
        </w:tabs>
        <w:spacing w:after="0" w:line="240" w:lineRule="auto"/>
        <w:jc w:val="center"/>
        <w:rPr>
          <w:rFonts w:cstheme="minorHAnsi"/>
          <w:lang w:val="es-DO"/>
        </w:rPr>
      </w:pPr>
      <w:r w:rsidRPr="00074EFA">
        <w:rPr>
          <w:rFonts w:cstheme="minorHAnsi"/>
          <w:noProof/>
          <w:lang w:eastAsia="es-ES"/>
        </w:rPr>
        <w:drawing>
          <wp:inline distT="0" distB="0" distL="0" distR="0" wp14:anchorId="61C74B1D" wp14:editId="5DE3BBE9">
            <wp:extent cx="4527550" cy="27432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41DF8" w:rsidRDefault="00541DF8" w:rsidP="00541DF8">
      <w:pPr>
        <w:tabs>
          <w:tab w:val="left" w:pos="8565"/>
        </w:tabs>
        <w:spacing w:after="0" w:line="240" w:lineRule="auto"/>
        <w:jc w:val="center"/>
        <w:rPr>
          <w:rFonts w:cstheme="minorHAnsi"/>
          <w:sz w:val="16"/>
          <w:szCs w:val="16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junio 2020</w:t>
      </w:r>
      <w:r>
        <w:rPr>
          <w:rFonts w:cstheme="minorHAnsi"/>
          <w:sz w:val="16"/>
          <w:szCs w:val="16"/>
          <w:lang w:val="es-DO"/>
        </w:rPr>
        <w:t>.</w:t>
      </w:r>
    </w:p>
    <w:p w:rsidR="00541DF8" w:rsidRDefault="00541DF8" w:rsidP="00FB51B2">
      <w:pPr>
        <w:tabs>
          <w:tab w:val="left" w:pos="8565"/>
        </w:tabs>
        <w:spacing w:after="0" w:line="240" w:lineRule="auto"/>
        <w:rPr>
          <w:rFonts w:cstheme="minorHAnsi"/>
          <w:sz w:val="16"/>
          <w:szCs w:val="16"/>
          <w:lang w:val="es-DO"/>
        </w:rPr>
      </w:pPr>
    </w:p>
    <w:p w:rsidR="006858E0" w:rsidRDefault="00541DF8" w:rsidP="00FB51B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  <w:r>
        <w:rPr>
          <w:rFonts w:cstheme="minorHAnsi"/>
          <w:lang w:val="es-DO"/>
        </w:rPr>
        <w:t>Mientras que, en el re</w:t>
      </w:r>
      <w:r w:rsidR="006858E0" w:rsidRPr="00074EFA">
        <w:rPr>
          <w:rFonts w:cstheme="minorHAnsi"/>
          <w:lang w:val="es-DO"/>
        </w:rPr>
        <w:t xml:space="preserve">cuadro </w:t>
      </w:r>
      <w:r>
        <w:rPr>
          <w:rFonts w:cstheme="minorHAnsi"/>
          <w:lang w:val="es-DO"/>
        </w:rPr>
        <w:t xml:space="preserve">siguiente se </w:t>
      </w:r>
      <w:r w:rsidR="006858E0" w:rsidRPr="00074EFA">
        <w:rPr>
          <w:rFonts w:cstheme="minorHAnsi"/>
          <w:lang w:val="es-DO"/>
        </w:rPr>
        <w:t>muestra la cantidad de nuevos</w:t>
      </w:r>
      <w:r>
        <w:rPr>
          <w:rFonts w:cstheme="minorHAnsi"/>
          <w:lang w:val="es-DO"/>
        </w:rPr>
        <w:t xml:space="preserve"> (as)</w:t>
      </w:r>
      <w:r w:rsidR="006858E0" w:rsidRPr="00074EFA">
        <w:rPr>
          <w:rFonts w:cstheme="minorHAnsi"/>
          <w:lang w:val="es-DO"/>
        </w:rPr>
        <w:t xml:space="preserve"> proveedores</w:t>
      </w:r>
      <w:r>
        <w:rPr>
          <w:rFonts w:cstheme="minorHAnsi"/>
          <w:lang w:val="es-DO"/>
        </w:rPr>
        <w:t xml:space="preserve"> (as)</w:t>
      </w:r>
      <w:r w:rsidR="006858E0" w:rsidRPr="00074EFA">
        <w:rPr>
          <w:rFonts w:cstheme="minorHAnsi"/>
          <w:lang w:val="es-DO"/>
        </w:rPr>
        <w:t xml:space="preserve"> inscritos</w:t>
      </w:r>
      <w:r>
        <w:rPr>
          <w:rFonts w:cstheme="minorHAnsi"/>
          <w:lang w:val="es-DO"/>
        </w:rPr>
        <w:t xml:space="preserve"> (as),</w:t>
      </w:r>
      <w:r w:rsidR="006858E0" w:rsidRPr="00074EFA">
        <w:rPr>
          <w:rFonts w:cstheme="minorHAnsi"/>
          <w:lang w:val="es-DO"/>
        </w:rPr>
        <w:t xml:space="preserve"> </w:t>
      </w:r>
      <w:r w:rsidR="00F95812">
        <w:rPr>
          <w:rFonts w:cstheme="minorHAnsi"/>
          <w:lang w:val="es-DO"/>
        </w:rPr>
        <w:t>certificados por el Ministerio de Industria, Comercio y MIPYMES, como micro, pequeñas y medianas empresas</w:t>
      </w:r>
      <w:r w:rsidRPr="00074EFA">
        <w:rPr>
          <w:rFonts w:cstheme="minorHAnsi"/>
          <w:lang w:val="es-DO"/>
        </w:rPr>
        <w:t xml:space="preserve"> </w:t>
      </w:r>
      <w:r w:rsidR="00F95812">
        <w:rPr>
          <w:rFonts w:cstheme="minorHAnsi"/>
          <w:lang w:val="es-DO"/>
        </w:rPr>
        <w:t>(</w:t>
      </w:r>
      <w:r w:rsidRPr="00074EFA">
        <w:rPr>
          <w:rFonts w:cstheme="minorHAnsi"/>
          <w:lang w:val="es-DO"/>
        </w:rPr>
        <w:t>MIPYME</w:t>
      </w:r>
      <w:r w:rsidR="00F95812">
        <w:rPr>
          <w:rFonts w:cstheme="minorHAnsi"/>
          <w:lang w:val="es-DO"/>
        </w:rPr>
        <w:t>S),</w:t>
      </w:r>
      <w:r w:rsidRPr="00074EFA">
        <w:rPr>
          <w:rFonts w:cstheme="minorHAnsi"/>
          <w:lang w:val="es-DO"/>
        </w:rPr>
        <w:t xml:space="preserve"> </w:t>
      </w:r>
      <w:r w:rsidR="006858E0" w:rsidRPr="00074EFA">
        <w:rPr>
          <w:rFonts w:cstheme="minorHAnsi"/>
          <w:lang w:val="es-DO"/>
        </w:rPr>
        <w:t>a partir del inicio del estado de emergencia</w:t>
      </w:r>
      <w:r w:rsidR="00F95812">
        <w:rPr>
          <w:rFonts w:cstheme="minorHAnsi"/>
          <w:lang w:val="es-DO"/>
        </w:rPr>
        <w:t>:</w:t>
      </w:r>
      <w:r w:rsidR="006858E0" w:rsidRPr="00074EFA">
        <w:rPr>
          <w:rFonts w:cstheme="minorHAnsi"/>
          <w:lang w:val="es-DO"/>
        </w:rPr>
        <w:t xml:space="preserve"> </w:t>
      </w:r>
    </w:p>
    <w:p w:rsidR="00541DF8" w:rsidRPr="00074EFA" w:rsidRDefault="00541DF8" w:rsidP="00FB51B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tbl>
      <w:tblPr>
        <w:tblW w:w="3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120"/>
      </w:tblGrid>
      <w:tr w:rsidR="00FB51B2" w:rsidRPr="00074EFA" w:rsidTr="006858E0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2F75B5"/>
            <w:noWrap/>
            <w:vAlign w:val="bottom"/>
            <w:hideMark/>
          </w:tcPr>
          <w:p w:rsidR="006858E0" w:rsidRPr="00F95812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</w:pPr>
            <w:r w:rsidRPr="00F95812"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  <w:t>MIPYME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2F75B5"/>
            <w:noWrap/>
            <w:vAlign w:val="bottom"/>
            <w:hideMark/>
          </w:tcPr>
          <w:p w:rsidR="006858E0" w:rsidRPr="00F95812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</w:pPr>
            <w:r w:rsidRPr="00F95812"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  <w:t>Cantidad</w:t>
            </w:r>
          </w:p>
        </w:tc>
      </w:tr>
      <w:tr w:rsidR="00FB51B2" w:rsidRPr="00074EFA" w:rsidTr="006858E0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8E0" w:rsidRPr="00074EFA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No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8E0" w:rsidRPr="00074EFA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740</w:t>
            </w:r>
          </w:p>
        </w:tc>
      </w:tr>
      <w:tr w:rsidR="00FB51B2" w:rsidRPr="00074EFA" w:rsidTr="006858E0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8E0" w:rsidRPr="00074EFA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Si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8E0" w:rsidRPr="00074EFA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26</w:t>
            </w:r>
          </w:p>
        </w:tc>
      </w:tr>
      <w:tr w:rsidR="00FB51B2" w:rsidRPr="00074EFA" w:rsidTr="006858E0">
        <w:trPr>
          <w:trHeight w:val="300"/>
          <w:jc w:val="center"/>
        </w:trPr>
        <w:tc>
          <w:tcPr>
            <w:tcW w:w="17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858E0" w:rsidRPr="00074EFA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es-DO" w:eastAsia="es-DO"/>
              </w:rPr>
            </w:pPr>
            <w:r w:rsidRPr="00074EFA">
              <w:rPr>
                <w:rFonts w:eastAsia="Times New Roman" w:cstheme="minorHAnsi"/>
                <w:b/>
                <w:bCs/>
                <w:lang w:val="es-DO" w:eastAsia="es-DO"/>
              </w:rPr>
              <w:t>Total general</w:t>
            </w:r>
          </w:p>
        </w:tc>
        <w:tc>
          <w:tcPr>
            <w:tcW w:w="21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858E0" w:rsidRPr="00074EFA" w:rsidRDefault="006858E0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es-DO" w:eastAsia="es-DO"/>
              </w:rPr>
            </w:pPr>
            <w:r w:rsidRPr="00074EFA">
              <w:rPr>
                <w:rFonts w:eastAsia="Times New Roman" w:cstheme="minorHAnsi"/>
                <w:b/>
                <w:bCs/>
                <w:lang w:val="es-DO" w:eastAsia="es-DO"/>
              </w:rPr>
              <w:t>766</w:t>
            </w:r>
          </w:p>
        </w:tc>
      </w:tr>
    </w:tbl>
    <w:p w:rsidR="006858E0" w:rsidRPr="00074EFA" w:rsidRDefault="00F95812" w:rsidP="00FB51B2">
      <w:pPr>
        <w:spacing w:after="0" w:line="240" w:lineRule="auto"/>
        <w:jc w:val="center"/>
        <w:rPr>
          <w:rFonts w:cstheme="minorHAnsi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junio 2020</w:t>
      </w:r>
      <w:r>
        <w:rPr>
          <w:rFonts w:cstheme="minorHAnsi"/>
          <w:sz w:val="16"/>
          <w:szCs w:val="16"/>
          <w:lang w:val="es-DO"/>
        </w:rPr>
        <w:t>.</w:t>
      </w:r>
    </w:p>
    <w:p w:rsidR="006858E0" w:rsidRPr="00074EFA" w:rsidRDefault="006858E0" w:rsidP="00FB51B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6858E0" w:rsidRDefault="00F95812" w:rsidP="00FB51B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  <w:r>
        <w:rPr>
          <w:rFonts w:cstheme="minorHAnsi"/>
          <w:lang w:val="es-DO"/>
        </w:rPr>
        <w:t>Del total de nuevos proveedores y nuevas proveedoras inscritas en el Registro de Proveedores del Estado,</w:t>
      </w:r>
      <w:r w:rsidR="006858E0" w:rsidRPr="00074EFA">
        <w:rPr>
          <w:rFonts w:cstheme="minorHAnsi"/>
          <w:lang w:val="es-DO"/>
        </w:rPr>
        <w:t xml:space="preserve"> el 3% corresponde a nuevas MIPYMES y el 97% </w:t>
      </w:r>
      <w:r>
        <w:rPr>
          <w:rFonts w:cstheme="minorHAnsi"/>
          <w:lang w:val="es-DO"/>
        </w:rPr>
        <w:t xml:space="preserve">restante, </w:t>
      </w:r>
      <w:r w:rsidR="006858E0" w:rsidRPr="00074EFA">
        <w:rPr>
          <w:rFonts w:cstheme="minorHAnsi"/>
          <w:lang w:val="es-DO"/>
        </w:rPr>
        <w:t>no tienen dicha clasificación.</w:t>
      </w:r>
    </w:p>
    <w:p w:rsidR="00F95812" w:rsidRPr="00074EFA" w:rsidRDefault="00F95812" w:rsidP="00FB51B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6858E0" w:rsidRDefault="00F95812" w:rsidP="00F95812">
      <w:pPr>
        <w:tabs>
          <w:tab w:val="left" w:pos="8565"/>
        </w:tabs>
        <w:spacing w:after="0" w:line="240" w:lineRule="auto"/>
        <w:jc w:val="both"/>
        <w:rPr>
          <w:rFonts w:cstheme="minorHAnsi"/>
          <w:lang w:val="es-DO"/>
        </w:rPr>
      </w:pPr>
      <w:r>
        <w:rPr>
          <w:rFonts w:cstheme="minorHAnsi"/>
          <w:lang w:val="es-DO"/>
        </w:rPr>
        <w:t xml:space="preserve">Otro aspecto importante que se debe destacar es </w:t>
      </w:r>
      <w:r w:rsidR="00BE018D" w:rsidRPr="00074EFA">
        <w:rPr>
          <w:rFonts w:cstheme="minorHAnsi"/>
          <w:lang w:val="es-DO"/>
        </w:rPr>
        <w:t>la cantidad de solicitudes</w:t>
      </w:r>
      <w:r>
        <w:rPr>
          <w:rFonts w:cstheme="minorHAnsi"/>
          <w:lang w:val="es-DO"/>
        </w:rPr>
        <w:t>, vinculadas al Registro de Proveedores del Estado, que han sido</w:t>
      </w:r>
      <w:r w:rsidR="00BE018D" w:rsidRPr="00074EFA">
        <w:rPr>
          <w:rFonts w:cstheme="minorHAnsi"/>
          <w:lang w:val="es-DO"/>
        </w:rPr>
        <w:t xml:space="preserve"> recibidas por parte de la ciudadanía</w:t>
      </w:r>
      <w:r>
        <w:rPr>
          <w:rFonts w:cstheme="minorHAnsi"/>
          <w:lang w:val="es-DO"/>
        </w:rPr>
        <w:t>,</w:t>
      </w:r>
      <w:r w:rsidR="00BE018D" w:rsidRPr="00074EFA">
        <w:rPr>
          <w:rFonts w:cstheme="minorHAnsi"/>
          <w:lang w:val="es-DO"/>
        </w:rPr>
        <w:t xml:space="preserve"> desde el inicio de </w:t>
      </w:r>
      <w:r>
        <w:rPr>
          <w:rFonts w:cstheme="minorHAnsi"/>
          <w:lang w:val="es-DO"/>
        </w:rPr>
        <w:t xml:space="preserve">la declaratoria </w:t>
      </w:r>
      <w:r w:rsidR="00BE018D" w:rsidRPr="00074EFA">
        <w:rPr>
          <w:rFonts w:cstheme="minorHAnsi"/>
          <w:lang w:val="es-DO"/>
        </w:rPr>
        <w:t>de emergencia hasta al cierre del 15 de junio.</w:t>
      </w:r>
    </w:p>
    <w:p w:rsidR="00F95812" w:rsidRDefault="00F95812" w:rsidP="00F9581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F9581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F9581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Default="00E048A7" w:rsidP="00F9581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p w:rsidR="00E048A7" w:rsidRPr="00074EFA" w:rsidRDefault="00E048A7" w:rsidP="00F95812">
      <w:pPr>
        <w:tabs>
          <w:tab w:val="left" w:pos="8565"/>
        </w:tabs>
        <w:spacing w:after="0" w:line="240" w:lineRule="auto"/>
        <w:rPr>
          <w:rFonts w:cstheme="minorHAnsi"/>
          <w:lang w:val="es-DO"/>
        </w:rPr>
      </w:pPr>
    </w:p>
    <w:tbl>
      <w:tblPr>
        <w:tblW w:w="64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619"/>
        <w:gridCol w:w="1619"/>
      </w:tblGrid>
      <w:tr w:rsidR="00F95812" w:rsidRPr="00074EFA" w:rsidTr="00F95812">
        <w:trPr>
          <w:trHeight w:val="255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366092"/>
            <w:noWrap/>
            <w:vAlign w:val="bottom"/>
            <w:hideMark/>
          </w:tcPr>
          <w:p w:rsidR="00F95812" w:rsidRPr="00F95812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</w:pPr>
            <w:r w:rsidRPr="00F95812"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  <w:t>Tipo de solicitud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366092"/>
            <w:noWrap/>
            <w:vAlign w:val="bottom"/>
            <w:hideMark/>
          </w:tcPr>
          <w:p w:rsidR="00F95812" w:rsidRPr="00F95812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</w:pPr>
            <w:r w:rsidRPr="00F95812"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  <w:t>Cantidad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366092"/>
          </w:tcPr>
          <w:p w:rsidR="00F95812" w:rsidRPr="00F95812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lang w:val="es-DO" w:eastAsia="es-DO"/>
              </w:rPr>
              <w:t>%</w:t>
            </w:r>
          </w:p>
        </w:tc>
      </w:tr>
      <w:tr w:rsidR="00F95812" w:rsidRPr="00074EFA" w:rsidTr="00F95812">
        <w:trPr>
          <w:trHeight w:val="2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Cambio de datos del proveedor</w:t>
            </w:r>
            <w:r>
              <w:rPr>
                <w:rFonts w:eastAsia="Times New Roman" w:cstheme="minorHAnsi"/>
                <w:lang w:val="es-DO" w:eastAsia="es-DO"/>
              </w:rPr>
              <w:t xml:space="preserve"> (a)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2</w:t>
            </w:r>
            <w:r>
              <w:rPr>
                <w:rFonts w:eastAsia="Times New Roman" w:cstheme="minorHAnsi"/>
                <w:lang w:val="es-DO" w:eastAsia="es-DO"/>
              </w:rPr>
              <w:t>,</w:t>
            </w:r>
            <w:r w:rsidRPr="00074EFA">
              <w:rPr>
                <w:rFonts w:eastAsia="Times New Roman" w:cstheme="minorHAnsi"/>
                <w:lang w:val="es-DO" w:eastAsia="es-DO"/>
              </w:rPr>
              <w:t>235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>
              <w:rPr>
                <w:rFonts w:eastAsia="Times New Roman" w:cstheme="minorHAnsi"/>
                <w:lang w:val="es-DO" w:eastAsia="es-DO"/>
              </w:rPr>
              <w:t>42%</w:t>
            </w:r>
          </w:p>
        </w:tc>
      </w:tr>
      <w:tr w:rsidR="00F95812" w:rsidRPr="00074EFA" w:rsidTr="00F95812">
        <w:trPr>
          <w:trHeight w:val="2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Crear Proveedor</w:t>
            </w:r>
            <w:r>
              <w:rPr>
                <w:rFonts w:eastAsia="Times New Roman" w:cstheme="minorHAnsi"/>
                <w:lang w:val="es-DO" w:eastAsia="es-DO"/>
              </w:rPr>
              <w:t xml:space="preserve"> (a)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918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>
              <w:rPr>
                <w:rFonts w:eastAsia="Times New Roman" w:cstheme="minorHAnsi"/>
                <w:lang w:val="es-DO" w:eastAsia="es-DO"/>
              </w:rPr>
              <w:t>17%</w:t>
            </w:r>
          </w:p>
        </w:tc>
      </w:tr>
      <w:tr w:rsidR="00F95812" w:rsidRPr="00074EFA" w:rsidTr="00F95812">
        <w:trPr>
          <w:trHeight w:val="255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Solicitud de</w:t>
            </w:r>
            <w:r w:rsidR="00E048A7">
              <w:rPr>
                <w:rFonts w:eastAsia="Times New Roman" w:cstheme="minorHAnsi"/>
                <w:lang w:val="es-DO" w:eastAsia="es-DO"/>
              </w:rPr>
              <w:t xml:space="preserve"> inscripción Portal Transaccional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 w:rsidRPr="00074EFA">
              <w:rPr>
                <w:rFonts w:eastAsia="Times New Roman" w:cstheme="minorHAnsi"/>
                <w:lang w:val="es-DO" w:eastAsia="es-DO"/>
              </w:rPr>
              <w:t>2</w:t>
            </w:r>
            <w:r>
              <w:rPr>
                <w:rFonts w:eastAsia="Times New Roman" w:cstheme="minorHAnsi"/>
                <w:lang w:val="es-DO" w:eastAsia="es-DO"/>
              </w:rPr>
              <w:t>,</w:t>
            </w:r>
            <w:r w:rsidRPr="00074EFA">
              <w:rPr>
                <w:rFonts w:eastAsia="Times New Roman" w:cstheme="minorHAnsi"/>
                <w:lang w:val="es-DO" w:eastAsia="es-DO"/>
              </w:rPr>
              <w:t>193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lang w:val="es-DO" w:eastAsia="es-DO"/>
              </w:rPr>
            </w:pPr>
            <w:r>
              <w:rPr>
                <w:rFonts w:eastAsia="Times New Roman" w:cstheme="minorHAnsi"/>
                <w:lang w:val="es-DO" w:eastAsia="es-DO"/>
              </w:rPr>
              <w:t>41%</w:t>
            </w:r>
          </w:p>
        </w:tc>
      </w:tr>
      <w:tr w:rsidR="00F95812" w:rsidRPr="00074EFA" w:rsidTr="00F95812">
        <w:trPr>
          <w:trHeight w:val="255"/>
          <w:jc w:val="center"/>
        </w:trPr>
        <w:tc>
          <w:tcPr>
            <w:tcW w:w="3261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F95812" w:rsidRPr="00074EFA" w:rsidRDefault="00F95812" w:rsidP="00F9581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es-DO" w:eastAsia="es-DO"/>
              </w:rPr>
            </w:pPr>
            <w:r w:rsidRPr="00074EFA">
              <w:rPr>
                <w:rFonts w:eastAsia="Times New Roman" w:cstheme="minorHAnsi"/>
                <w:b/>
                <w:bCs/>
                <w:lang w:val="es-DO" w:eastAsia="es-DO"/>
              </w:rPr>
              <w:t>Total general</w:t>
            </w:r>
          </w:p>
        </w:tc>
        <w:tc>
          <w:tcPr>
            <w:tcW w:w="1619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es-DO" w:eastAsia="es-DO"/>
              </w:rPr>
            </w:pPr>
            <w:r w:rsidRPr="00074EFA">
              <w:rPr>
                <w:rFonts w:eastAsia="Times New Roman" w:cstheme="minorHAnsi"/>
                <w:b/>
                <w:bCs/>
                <w:lang w:val="es-DO" w:eastAsia="es-DO"/>
              </w:rPr>
              <w:t>5</w:t>
            </w:r>
            <w:r>
              <w:rPr>
                <w:rFonts w:eastAsia="Times New Roman" w:cstheme="minorHAnsi"/>
                <w:b/>
                <w:bCs/>
                <w:lang w:val="es-DO" w:eastAsia="es-DO"/>
              </w:rPr>
              <w:t>,</w:t>
            </w:r>
            <w:r w:rsidRPr="00074EFA">
              <w:rPr>
                <w:rFonts w:eastAsia="Times New Roman" w:cstheme="minorHAnsi"/>
                <w:b/>
                <w:bCs/>
                <w:lang w:val="es-DO" w:eastAsia="es-DO"/>
              </w:rPr>
              <w:t>346</w:t>
            </w:r>
          </w:p>
        </w:tc>
        <w:tc>
          <w:tcPr>
            <w:tcW w:w="1619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</w:tcPr>
          <w:p w:rsidR="00F95812" w:rsidRPr="00074EFA" w:rsidRDefault="00F95812" w:rsidP="00FB51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es-DO" w:eastAsia="es-DO"/>
              </w:rPr>
            </w:pPr>
            <w:r>
              <w:rPr>
                <w:rFonts w:eastAsia="Times New Roman" w:cstheme="minorHAnsi"/>
                <w:b/>
                <w:bCs/>
                <w:lang w:val="es-DO" w:eastAsia="es-DO"/>
              </w:rPr>
              <w:t>100%</w:t>
            </w:r>
          </w:p>
        </w:tc>
      </w:tr>
    </w:tbl>
    <w:p w:rsidR="00F95812" w:rsidRDefault="00F95812" w:rsidP="00F95812">
      <w:pPr>
        <w:tabs>
          <w:tab w:val="left" w:pos="8565"/>
        </w:tabs>
        <w:spacing w:after="0" w:line="240" w:lineRule="auto"/>
        <w:ind w:left="2124"/>
        <w:rPr>
          <w:rFonts w:cstheme="minorHAnsi"/>
          <w:sz w:val="16"/>
          <w:szCs w:val="16"/>
          <w:lang w:val="es-DO"/>
        </w:rPr>
      </w:pPr>
      <w:r w:rsidRPr="00DB7466">
        <w:rPr>
          <w:rFonts w:cstheme="minorHAnsi"/>
          <w:sz w:val="16"/>
          <w:szCs w:val="16"/>
          <w:lang w:val="es-DO"/>
        </w:rPr>
        <w:t>Fuente: Dirección General de Contrataciones Públicas</w:t>
      </w:r>
      <w:r>
        <w:rPr>
          <w:rFonts w:cstheme="minorHAnsi"/>
          <w:sz w:val="16"/>
          <w:szCs w:val="16"/>
          <w:lang w:val="es-DO"/>
        </w:rPr>
        <w:t>,</w:t>
      </w:r>
      <w:r w:rsidRPr="00DB7466">
        <w:rPr>
          <w:rFonts w:cstheme="minorHAnsi"/>
          <w:sz w:val="16"/>
          <w:szCs w:val="16"/>
          <w:lang w:val="es-DO"/>
        </w:rPr>
        <w:t xml:space="preserve"> junio 2020</w:t>
      </w:r>
      <w:r>
        <w:rPr>
          <w:rFonts w:cstheme="minorHAnsi"/>
          <w:sz w:val="16"/>
          <w:szCs w:val="16"/>
          <w:lang w:val="es-DO"/>
        </w:rPr>
        <w:t>.</w:t>
      </w:r>
    </w:p>
    <w:p w:rsidR="00F95812" w:rsidRDefault="00F95812" w:rsidP="00FB51B2">
      <w:pPr>
        <w:tabs>
          <w:tab w:val="left" w:pos="8565"/>
        </w:tabs>
        <w:spacing w:after="0" w:line="240" w:lineRule="auto"/>
        <w:rPr>
          <w:rFonts w:cstheme="minorHAnsi"/>
          <w:sz w:val="16"/>
          <w:szCs w:val="16"/>
          <w:lang w:val="es-DO"/>
        </w:rPr>
      </w:pPr>
    </w:p>
    <w:p w:rsidR="00186F79" w:rsidRDefault="00186F79">
      <w:pPr>
        <w:rPr>
          <w:rFonts w:cstheme="minorHAnsi"/>
          <w:lang w:val="es-DO"/>
        </w:rPr>
      </w:pPr>
      <w:r>
        <w:rPr>
          <w:rFonts w:cstheme="minorHAnsi"/>
          <w:lang w:val="es-DO"/>
        </w:rPr>
        <w:br w:type="page"/>
      </w:r>
    </w:p>
    <w:p w:rsidR="00F6464B" w:rsidRDefault="00F95812" w:rsidP="00F95812">
      <w:pPr>
        <w:spacing w:after="0" w:line="240" w:lineRule="auto"/>
        <w:jc w:val="both"/>
        <w:rPr>
          <w:rFonts w:cstheme="minorHAnsi"/>
          <w:lang w:val="es-DO"/>
        </w:rPr>
      </w:pPr>
      <w:r>
        <w:rPr>
          <w:rFonts w:cstheme="minorHAnsi"/>
          <w:lang w:val="es-DO"/>
        </w:rPr>
        <w:lastRenderedPageBreak/>
        <w:t xml:space="preserve">Tras </w:t>
      </w:r>
      <w:r w:rsidR="00E048A7">
        <w:rPr>
          <w:rFonts w:cstheme="minorHAnsi"/>
          <w:lang w:val="es-DO"/>
        </w:rPr>
        <w:t xml:space="preserve">la adopción de las </w:t>
      </w:r>
      <w:r w:rsidR="000274D5">
        <w:rPr>
          <w:rFonts w:cstheme="minorHAnsi"/>
          <w:lang w:val="es-DO"/>
        </w:rPr>
        <w:t>medidas antes expuestas</w:t>
      </w:r>
      <w:r w:rsidR="00E048A7">
        <w:rPr>
          <w:rFonts w:cstheme="minorHAnsi"/>
          <w:lang w:val="es-DO"/>
        </w:rPr>
        <w:t xml:space="preserve">, y del análisis de </w:t>
      </w:r>
      <w:r w:rsidR="000274D5">
        <w:rPr>
          <w:rFonts w:cstheme="minorHAnsi"/>
          <w:lang w:val="es-DO"/>
        </w:rPr>
        <w:t>las informaciones generadas</w:t>
      </w:r>
      <w:r>
        <w:rPr>
          <w:rFonts w:cstheme="minorHAnsi"/>
          <w:lang w:val="es-DO"/>
        </w:rPr>
        <w:t>, se ha podido constatar que l</w:t>
      </w:r>
      <w:r w:rsidR="00F6464B" w:rsidRPr="00F95812">
        <w:rPr>
          <w:rFonts w:cstheme="minorHAnsi"/>
          <w:lang w:val="es-DO"/>
        </w:rPr>
        <w:t xml:space="preserve">as </w:t>
      </w:r>
      <w:r>
        <w:rPr>
          <w:rFonts w:cstheme="minorHAnsi"/>
          <w:lang w:val="es-DO"/>
        </w:rPr>
        <w:t>micro, pequeñas y medianas empresas (</w:t>
      </w:r>
      <w:r w:rsidR="00F6464B" w:rsidRPr="00F95812">
        <w:rPr>
          <w:rFonts w:cstheme="minorHAnsi"/>
          <w:lang w:val="es-DO"/>
        </w:rPr>
        <w:t>MIPYMES</w:t>
      </w:r>
      <w:r>
        <w:rPr>
          <w:rFonts w:cstheme="minorHAnsi"/>
          <w:lang w:val="es-DO"/>
        </w:rPr>
        <w:t>)</w:t>
      </w:r>
      <w:r w:rsidR="00F6464B" w:rsidRPr="00F95812">
        <w:rPr>
          <w:rFonts w:cstheme="minorHAnsi"/>
          <w:lang w:val="es-DO"/>
        </w:rPr>
        <w:t xml:space="preserve"> y </w:t>
      </w:r>
      <w:r>
        <w:rPr>
          <w:rFonts w:cstheme="minorHAnsi"/>
          <w:lang w:val="es-DO"/>
        </w:rPr>
        <w:t>las p</w:t>
      </w:r>
      <w:r w:rsidR="00F6464B" w:rsidRPr="00F95812">
        <w:rPr>
          <w:rFonts w:cstheme="minorHAnsi"/>
          <w:lang w:val="es-DO"/>
        </w:rPr>
        <w:t xml:space="preserve">ersonas </w:t>
      </w:r>
      <w:r>
        <w:rPr>
          <w:rFonts w:cstheme="minorHAnsi"/>
          <w:lang w:val="es-DO"/>
        </w:rPr>
        <w:t>f</w:t>
      </w:r>
      <w:r w:rsidR="00F6464B" w:rsidRPr="00F95812">
        <w:rPr>
          <w:rFonts w:cstheme="minorHAnsi"/>
          <w:lang w:val="es-DO"/>
        </w:rPr>
        <w:t>ísicas</w:t>
      </w:r>
      <w:r>
        <w:rPr>
          <w:rFonts w:cstheme="minorHAnsi"/>
          <w:lang w:val="es-DO"/>
        </w:rPr>
        <w:t>,</w:t>
      </w:r>
      <w:r w:rsidR="00F6464B" w:rsidRPr="00F95812">
        <w:rPr>
          <w:rFonts w:cstheme="minorHAnsi"/>
          <w:lang w:val="es-DO"/>
        </w:rPr>
        <w:t xml:space="preserve"> tienen una importante participación en las compras de Emergencias por COVID-19, </w:t>
      </w:r>
      <w:r>
        <w:rPr>
          <w:rFonts w:cstheme="minorHAnsi"/>
          <w:lang w:val="es-DO"/>
        </w:rPr>
        <w:t xml:space="preserve">ascendiendo a un </w:t>
      </w:r>
      <w:r w:rsidRPr="00F95812">
        <w:rPr>
          <w:rFonts w:cstheme="minorHAnsi"/>
          <w:lang w:val="es-DO"/>
        </w:rPr>
        <w:t>42%</w:t>
      </w:r>
      <w:r>
        <w:rPr>
          <w:rFonts w:cstheme="minorHAnsi"/>
          <w:lang w:val="es-DO"/>
        </w:rPr>
        <w:t>,</w:t>
      </w:r>
      <w:r w:rsidRPr="00F95812">
        <w:rPr>
          <w:rFonts w:cstheme="minorHAnsi"/>
          <w:lang w:val="es-DO"/>
        </w:rPr>
        <w:t xml:space="preserve"> </w:t>
      </w:r>
      <w:r w:rsidR="00F6464B" w:rsidRPr="00F95812">
        <w:rPr>
          <w:rFonts w:cstheme="minorHAnsi"/>
          <w:lang w:val="es-DO"/>
        </w:rPr>
        <w:t xml:space="preserve">logrando así </w:t>
      </w:r>
      <w:r w:rsidRPr="00F95812">
        <w:rPr>
          <w:rFonts w:cstheme="minorHAnsi"/>
          <w:lang w:val="es-DO"/>
        </w:rPr>
        <w:t xml:space="preserve">un excedente de </w:t>
      </w:r>
      <w:r w:rsidR="00C54755">
        <w:rPr>
          <w:rFonts w:cstheme="minorHAnsi"/>
          <w:lang w:val="es-DO"/>
        </w:rPr>
        <w:t>€37</w:t>
      </w:r>
      <w:r w:rsidRPr="00F95812">
        <w:rPr>
          <w:rFonts w:cstheme="minorHAnsi"/>
          <w:lang w:val="es-DO"/>
        </w:rPr>
        <w:t xml:space="preserve"> millones</w:t>
      </w:r>
      <w:r>
        <w:rPr>
          <w:rFonts w:cstheme="minorHAnsi"/>
          <w:lang w:val="es-DO"/>
        </w:rPr>
        <w:t xml:space="preserve"> en</w:t>
      </w:r>
      <w:r w:rsidRPr="00F95812">
        <w:rPr>
          <w:rFonts w:cstheme="minorHAnsi"/>
          <w:lang w:val="es-DO"/>
        </w:rPr>
        <w:t xml:space="preserve"> </w:t>
      </w:r>
      <w:r w:rsidR="00F6464B" w:rsidRPr="00F95812">
        <w:rPr>
          <w:rFonts w:cstheme="minorHAnsi"/>
          <w:lang w:val="es-DO"/>
        </w:rPr>
        <w:t xml:space="preserve">la </w:t>
      </w:r>
      <w:r>
        <w:rPr>
          <w:rFonts w:cstheme="minorHAnsi"/>
          <w:lang w:val="es-DO"/>
        </w:rPr>
        <w:t>c</w:t>
      </w:r>
      <w:r w:rsidR="00F6464B" w:rsidRPr="00F95812">
        <w:rPr>
          <w:rFonts w:cstheme="minorHAnsi"/>
          <w:lang w:val="es-DO"/>
        </w:rPr>
        <w:t xml:space="preserve">uota </w:t>
      </w:r>
      <w:r>
        <w:rPr>
          <w:rFonts w:cstheme="minorHAnsi"/>
          <w:lang w:val="es-DO"/>
        </w:rPr>
        <w:t>e</w:t>
      </w:r>
      <w:r w:rsidR="00F6464B" w:rsidRPr="00F95812">
        <w:rPr>
          <w:rFonts w:cstheme="minorHAnsi"/>
          <w:lang w:val="es-DO"/>
        </w:rPr>
        <w:t>stablecida por Le</w:t>
      </w:r>
      <w:r>
        <w:rPr>
          <w:rFonts w:cstheme="minorHAnsi"/>
          <w:lang w:val="es-DO"/>
        </w:rPr>
        <w:t>y, la cual es de un 20%</w:t>
      </w:r>
      <w:r w:rsidR="00E048A7">
        <w:rPr>
          <w:rFonts w:cstheme="minorHAnsi"/>
          <w:lang w:val="es-DO"/>
        </w:rPr>
        <w:t xml:space="preserve"> de los presupuestos de compras.</w:t>
      </w:r>
    </w:p>
    <w:p w:rsidR="00186F79" w:rsidRPr="00186F79" w:rsidRDefault="00186F79" w:rsidP="00F95812">
      <w:pPr>
        <w:spacing w:after="0" w:line="240" w:lineRule="auto"/>
        <w:jc w:val="both"/>
        <w:rPr>
          <w:rFonts w:cstheme="minorHAnsi"/>
          <w:sz w:val="18"/>
          <w:szCs w:val="18"/>
          <w:lang w:val="es-DO"/>
        </w:rPr>
      </w:pPr>
    </w:p>
    <w:p w:rsidR="00F6464B" w:rsidRPr="00074EFA" w:rsidRDefault="00D252DA" w:rsidP="00F95812">
      <w:pPr>
        <w:spacing w:after="0" w:line="240" w:lineRule="auto"/>
        <w:jc w:val="center"/>
        <w:rPr>
          <w:rFonts w:cstheme="minorHAnsi"/>
          <w:lang w:val="es-DO"/>
        </w:rPr>
      </w:pPr>
      <w:r w:rsidRPr="00D252DA">
        <w:rPr>
          <w:rFonts w:cstheme="minorHAnsi"/>
          <w:noProof/>
          <w:lang w:eastAsia="es-ES"/>
        </w:rPr>
        <w:drawing>
          <wp:inline distT="0" distB="0" distL="0" distR="0" wp14:anchorId="43D1B15E" wp14:editId="6AACD599">
            <wp:extent cx="5600700" cy="3488055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B2CD4DCB-F7D0-4271-9430-35C2934404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6464B" w:rsidRDefault="00463901" w:rsidP="00186F79">
      <w:pPr>
        <w:spacing w:after="0" w:line="240" w:lineRule="auto"/>
        <w:jc w:val="both"/>
        <w:rPr>
          <w:rFonts w:cstheme="minorHAnsi"/>
          <w:lang w:val="es-DO"/>
        </w:rPr>
      </w:pPr>
      <w:r>
        <w:rPr>
          <w:rFonts w:cstheme="minorHAnsi"/>
          <w:lang w:val="es-DO"/>
        </w:rPr>
        <w:t>En lo que respecta a las</w:t>
      </w:r>
      <w:r w:rsidR="00F6464B" w:rsidRPr="00074EFA">
        <w:rPr>
          <w:rFonts w:cstheme="minorHAnsi"/>
          <w:lang w:val="es-DO"/>
        </w:rPr>
        <w:t xml:space="preserve"> </w:t>
      </w:r>
      <w:r w:rsidR="00186F79">
        <w:rPr>
          <w:rFonts w:cstheme="minorHAnsi"/>
          <w:lang w:val="es-DO"/>
        </w:rPr>
        <w:t>m</w:t>
      </w:r>
      <w:r w:rsidR="00F6464B" w:rsidRPr="00074EFA">
        <w:rPr>
          <w:rFonts w:cstheme="minorHAnsi"/>
          <w:lang w:val="es-DO"/>
        </w:rPr>
        <w:t xml:space="preserve">ujeres </w:t>
      </w:r>
      <w:r w:rsidR="00186F79">
        <w:rPr>
          <w:rFonts w:cstheme="minorHAnsi"/>
          <w:lang w:val="es-DO"/>
        </w:rPr>
        <w:t>p</w:t>
      </w:r>
      <w:r w:rsidR="00F6464B" w:rsidRPr="00074EFA">
        <w:rPr>
          <w:rFonts w:cstheme="minorHAnsi"/>
          <w:lang w:val="es-DO"/>
        </w:rPr>
        <w:t xml:space="preserve">roveedoras del Estado </w:t>
      </w:r>
      <w:r w:rsidR="00186F79">
        <w:rPr>
          <w:rFonts w:cstheme="minorHAnsi"/>
          <w:lang w:val="es-DO"/>
        </w:rPr>
        <w:t>representan</w:t>
      </w:r>
      <w:r w:rsidR="00F6464B" w:rsidRPr="00074EFA">
        <w:rPr>
          <w:rFonts w:cstheme="minorHAnsi"/>
          <w:lang w:val="es-DO"/>
        </w:rPr>
        <w:t xml:space="preserve"> el 19% </w:t>
      </w:r>
      <w:r w:rsidR="00186F79">
        <w:rPr>
          <w:rFonts w:cstheme="minorHAnsi"/>
          <w:lang w:val="es-DO"/>
        </w:rPr>
        <w:t xml:space="preserve">de la participación </w:t>
      </w:r>
      <w:r w:rsidR="00F6464B" w:rsidRPr="00074EFA">
        <w:rPr>
          <w:rFonts w:cstheme="minorHAnsi"/>
          <w:lang w:val="es-DO"/>
        </w:rPr>
        <w:t xml:space="preserve">en las compras de </w:t>
      </w:r>
      <w:r w:rsidR="00186F79">
        <w:rPr>
          <w:rFonts w:cstheme="minorHAnsi"/>
          <w:lang w:val="es-DO"/>
        </w:rPr>
        <w:t>e</w:t>
      </w:r>
      <w:r w:rsidR="00F6464B" w:rsidRPr="00074EFA">
        <w:rPr>
          <w:rFonts w:cstheme="minorHAnsi"/>
          <w:lang w:val="es-DO"/>
        </w:rPr>
        <w:t>mergencia</w:t>
      </w:r>
      <w:r w:rsidR="00186F79">
        <w:rPr>
          <w:rFonts w:cstheme="minorHAnsi"/>
          <w:lang w:val="es-DO"/>
        </w:rPr>
        <w:t xml:space="preserve"> generadas</w:t>
      </w:r>
      <w:r w:rsidR="00F6464B" w:rsidRPr="00074EFA">
        <w:rPr>
          <w:rFonts w:cstheme="minorHAnsi"/>
          <w:lang w:val="es-DO"/>
        </w:rPr>
        <w:t xml:space="preserve"> por COVID-19, logrando así </w:t>
      </w:r>
      <w:r w:rsidR="00186F79">
        <w:rPr>
          <w:rFonts w:cstheme="minorHAnsi"/>
          <w:lang w:val="es-DO"/>
        </w:rPr>
        <w:t xml:space="preserve">alcanzar </w:t>
      </w:r>
      <w:r w:rsidR="00F6464B" w:rsidRPr="00074EFA">
        <w:rPr>
          <w:rFonts w:cstheme="minorHAnsi"/>
          <w:lang w:val="es-DO"/>
        </w:rPr>
        <w:t xml:space="preserve">la </w:t>
      </w:r>
      <w:r w:rsidR="00186F79">
        <w:rPr>
          <w:rFonts w:cstheme="minorHAnsi"/>
          <w:lang w:val="es-DO"/>
        </w:rPr>
        <w:t>c</w:t>
      </w:r>
      <w:r w:rsidR="00F6464B" w:rsidRPr="00074EFA">
        <w:rPr>
          <w:rFonts w:cstheme="minorHAnsi"/>
          <w:lang w:val="es-DO"/>
        </w:rPr>
        <w:t xml:space="preserve">uota </w:t>
      </w:r>
      <w:r w:rsidR="00186F79">
        <w:rPr>
          <w:rFonts w:cstheme="minorHAnsi"/>
          <w:lang w:val="es-DO"/>
        </w:rPr>
        <w:t>e</w:t>
      </w:r>
      <w:r w:rsidR="00F6464B" w:rsidRPr="00074EFA">
        <w:rPr>
          <w:rFonts w:cstheme="minorHAnsi"/>
          <w:lang w:val="es-DO"/>
        </w:rPr>
        <w:t>stablecida por Ley</w:t>
      </w:r>
      <w:r w:rsidR="00186F79">
        <w:rPr>
          <w:rFonts w:cstheme="minorHAnsi"/>
          <w:lang w:val="es-DO"/>
        </w:rPr>
        <w:t>, que equivale a un 5% del 20% dirigido a las MIPYMES,</w:t>
      </w:r>
      <w:r w:rsidR="00F6464B" w:rsidRPr="00074EFA">
        <w:rPr>
          <w:rFonts w:cstheme="minorHAnsi"/>
          <w:lang w:val="es-DO"/>
        </w:rPr>
        <w:t xml:space="preserve"> con un excedente de </w:t>
      </w:r>
      <w:r w:rsidR="00D252DA">
        <w:rPr>
          <w:rFonts w:cstheme="minorHAnsi"/>
          <w:lang w:val="es-DO"/>
        </w:rPr>
        <w:t>€35</w:t>
      </w:r>
      <w:r w:rsidR="00F6464B" w:rsidRPr="00074EFA">
        <w:rPr>
          <w:rFonts w:cstheme="minorHAnsi"/>
          <w:lang w:val="es-DO"/>
        </w:rPr>
        <w:t xml:space="preserve"> millones.</w:t>
      </w:r>
    </w:p>
    <w:p w:rsidR="00186F79" w:rsidRPr="00186F79" w:rsidRDefault="00186F79" w:rsidP="00186F79">
      <w:pPr>
        <w:spacing w:after="0" w:line="240" w:lineRule="auto"/>
        <w:jc w:val="both"/>
        <w:rPr>
          <w:rFonts w:cstheme="minorHAnsi"/>
          <w:sz w:val="20"/>
          <w:szCs w:val="20"/>
          <w:lang w:val="es-DO"/>
        </w:rPr>
      </w:pPr>
    </w:p>
    <w:p w:rsidR="00F6464B" w:rsidRDefault="00D252DA" w:rsidP="00F95812">
      <w:pPr>
        <w:spacing w:after="0" w:line="240" w:lineRule="auto"/>
        <w:jc w:val="center"/>
        <w:rPr>
          <w:rFonts w:cstheme="minorHAnsi"/>
          <w:lang w:val="es-DO"/>
        </w:rPr>
      </w:pPr>
      <w:r w:rsidRPr="00D252DA">
        <w:rPr>
          <w:rFonts w:cstheme="minorHAnsi"/>
          <w:noProof/>
          <w:lang w:eastAsia="es-ES"/>
        </w:rPr>
        <w:drawing>
          <wp:inline distT="0" distB="0" distL="0" distR="0" wp14:anchorId="7AC11ED4" wp14:editId="4807E183">
            <wp:extent cx="4679950" cy="3455035"/>
            <wp:effectExtent l="0" t="0" r="635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0A13C2E-D1AD-44DA-A062-A87324647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3901" w:rsidRDefault="00463901" w:rsidP="00F95812">
      <w:pPr>
        <w:spacing w:after="0" w:line="240" w:lineRule="auto"/>
        <w:jc w:val="center"/>
        <w:rPr>
          <w:rFonts w:cstheme="minorHAnsi"/>
          <w:lang w:val="es-DO"/>
        </w:rPr>
      </w:pPr>
    </w:p>
    <w:p w:rsidR="00463901" w:rsidRDefault="00463901" w:rsidP="00463901">
      <w:pPr>
        <w:rPr>
          <w:rFonts w:cstheme="minorHAnsi"/>
          <w:lang w:val="es-DO"/>
        </w:rPr>
      </w:pPr>
      <w:r>
        <w:rPr>
          <w:rFonts w:cstheme="minorHAnsi"/>
          <w:lang w:val="es-DO"/>
        </w:rPr>
        <w:t xml:space="preserve">La experiencia adquirida de las compras de emergencia por el COVID-19 en República Dominicana ha sido posible por contar con el Portal Transaccional, herramienta que ha implicado un cambio de paradigma del registro de una parte de la información, a la gestión en </w:t>
      </w:r>
      <w:proofErr w:type="spellStart"/>
      <w:r>
        <w:rPr>
          <w:rFonts w:cstheme="minorHAnsi"/>
          <w:lang w:val="es-DO"/>
        </w:rPr>
        <w:t>linea</w:t>
      </w:r>
      <w:proofErr w:type="spellEnd"/>
      <w:r>
        <w:rPr>
          <w:rFonts w:cstheme="minorHAnsi"/>
          <w:lang w:val="es-DO"/>
        </w:rPr>
        <w:t xml:space="preserve"> de todo el procedimiento, la adjudicación, suscripción y gestión del contrato, en un momento donde el distanciamiento físico se ha vuelto indispensable.</w:t>
      </w:r>
    </w:p>
    <w:p w:rsidR="00463901" w:rsidRDefault="00463901" w:rsidP="00463901">
      <w:pPr>
        <w:rPr>
          <w:rFonts w:cstheme="minorHAnsi"/>
          <w:lang w:val="es-DO"/>
        </w:rPr>
      </w:pPr>
      <w:r>
        <w:rPr>
          <w:rFonts w:cstheme="minorHAnsi"/>
          <w:lang w:val="es-DO"/>
        </w:rPr>
        <w:t xml:space="preserve">En adición al envío de ofertas en </w:t>
      </w:r>
      <w:r w:rsidR="000274D5">
        <w:rPr>
          <w:rFonts w:cstheme="minorHAnsi"/>
          <w:lang w:val="es-DO"/>
        </w:rPr>
        <w:t>línea, Contrataciones</w:t>
      </w:r>
      <w:r>
        <w:rPr>
          <w:rFonts w:cstheme="minorHAnsi"/>
          <w:lang w:val="es-DO"/>
        </w:rPr>
        <w:t xml:space="preserve"> Públicas estableció en la </w:t>
      </w:r>
      <w:r w:rsidR="000274D5">
        <w:rPr>
          <w:rFonts w:cstheme="minorHAnsi"/>
          <w:lang w:val="es-DO"/>
        </w:rPr>
        <w:t>Guía</w:t>
      </w:r>
      <w:r>
        <w:rPr>
          <w:rFonts w:cstheme="minorHAnsi"/>
          <w:lang w:val="es-DO"/>
        </w:rPr>
        <w:t xml:space="preserve">, la importancia de poder realizar la apertura vía remota, con la presencia de todos los participantes y el Notario Público, </w:t>
      </w:r>
      <w:r w:rsidR="000D206C">
        <w:rPr>
          <w:rFonts w:cstheme="minorHAnsi"/>
          <w:lang w:val="es-DO"/>
        </w:rPr>
        <w:t xml:space="preserve">lo que permitió la transparencia, concurrencia </w:t>
      </w:r>
      <w:proofErr w:type="gramStart"/>
      <w:r w:rsidR="000D206C">
        <w:rPr>
          <w:rFonts w:cstheme="minorHAnsi"/>
          <w:lang w:val="es-DO"/>
        </w:rPr>
        <w:t>y</w:t>
      </w:r>
      <w:proofErr w:type="gramEnd"/>
      <w:r w:rsidR="000D206C">
        <w:rPr>
          <w:rFonts w:cstheme="minorHAnsi"/>
          <w:lang w:val="es-DO"/>
        </w:rPr>
        <w:t xml:space="preserve"> sobre todo </w:t>
      </w:r>
    </w:p>
    <w:p w:rsidR="00463901" w:rsidRDefault="000D206C" w:rsidP="00463901">
      <w:pPr>
        <w:rPr>
          <w:rFonts w:cstheme="minorHAnsi"/>
          <w:lang w:val="es-DO"/>
        </w:rPr>
      </w:pPr>
      <w:r>
        <w:rPr>
          <w:rFonts w:cstheme="minorHAnsi"/>
          <w:lang w:val="es-DO"/>
        </w:rPr>
        <w:t>La importancia de tener presente que el Estado compra siempre, aún en situaciones de emergencia, unido a la promoción de la participación, capacitación en línea, y respuesta oportuna, ha permitido que en un mundo digital las respuestas sean de la misma naturaleza en lugar de análogas.</w:t>
      </w:r>
    </w:p>
    <w:p w:rsidR="00463901" w:rsidRPr="00463901" w:rsidRDefault="000D206C" w:rsidP="00463901">
      <w:pPr>
        <w:rPr>
          <w:rFonts w:cstheme="minorHAnsi"/>
          <w:lang w:val="es-DO"/>
        </w:rPr>
      </w:pPr>
      <w:r>
        <w:rPr>
          <w:rFonts w:cstheme="minorHAnsi"/>
          <w:lang w:val="es-DO"/>
        </w:rPr>
        <w:t>El siguiente paso es llevar al reglamento los avances obtenidos de los procedimientos de contratación de emergencia, para que en lo adelante todos puedan ser realizados de la misma forma.</w:t>
      </w:r>
    </w:p>
    <w:p w:rsidR="00463901" w:rsidRPr="00463901" w:rsidRDefault="00463901" w:rsidP="00463901">
      <w:pPr>
        <w:rPr>
          <w:rFonts w:cstheme="minorHAnsi"/>
          <w:lang w:val="es-DO"/>
        </w:rPr>
      </w:pPr>
    </w:p>
    <w:p w:rsidR="00463901" w:rsidRPr="00463901" w:rsidRDefault="00463901" w:rsidP="00463901">
      <w:pPr>
        <w:rPr>
          <w:rFonts w:cstheme="minorHAnsi"/>
          <w:lang w:val="es-DO"/>
        </w:rPr>
      </w:pPr>
    </w:p>
    <w:p w:rsidR="00463901" w:rsidRPr="00463901" w:rsidRDefault="00463901" w:rsidP="00463901">
      <w:pPr>
        <w:rPr>
          <w:rFonts w:cstheme="minorHAnsi"/>
          <w:lang w:val="es-DO"/>
        </w:rPr>
      </w:pPr>
    </w:p>
    <w:p w:rsidR="00463901" w:rsidRDefault="00463901" w:rsidP="00463901">
      <w:pPr>
        <w:rPr>
          <w:rFonts w:cstheme="minorHAnsi"/>
          <w:lang w:val="es-DO"/>
        </w:rPr>
      </w:pPr>
    </w:p>
    <w:p w:rsidR="00463901" w:rsidRDefault="00463901" w:rsidP="00463901">
      <w:pPr>
        <w:rPr>
          <w:rFonts w:cstheme="minorHAnsi"/>
          <w:lang w:val="es-DO"/>
        </w:rPr>
      </w:pPr>
    </w:p>
    <w:p w:rsidR="00463901" w:rsidRPr="00463901" w:rsidRDefault="00463901" w:rsidP="00463901">
      <w:pPr>
        <w:jc w:val="center"/>
        <w:rPr>
          <w:rFonts w:cstheme="minorHAnsi"/>
          <w:lang w:val="es-DO"/>
        </w:rPr>
      </w:pPr>
    </w:p>
    <w:sectPr w:rsidR="00463901" w:rsidRPr="00463901" w:rsidSect="00FB51B2">
      <w:footerReference w:type="default" r:id="rId13"/>
      <w:endnotePr>
        <w:numFmt w:val="decimal"/>
      </w:end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A01" w:rsidRDefault="00556A01" w:rsidP="00ED3BD0">
      <w:pPr>
        <w:spacing w:after="0" w:line="240" w:lineRule="auto"/>
      </w:pPr>
      <w:r>
        <w:separator/>
      </w:r>
    </w:p>
  </w:endnote>
  <w:endnote w:type="continuationSeparator" w:id="0">
    <w:p w:rsidR="00556A01" w:rsidRDefault="00556A01" w:rsidP="00ED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565637"/>
      <w:docPartObj>
        <w:docPartGallery w:val="Page Numbers (Bottom of Page)"/>
        <w:docPartUnique/>
      </w:docPartObj>
    </w:sdtPr>
    <w:sdtEndPr/>
    <w:sdtContent>
      <w:p w:rsidR="00F03A70" w:rsidRDefault="00F03A7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287">
          <w:rPr>
            <w:noProof/>
          </w:rPr>
          <w:t>4</w:t>
        </w:r>
        <w:r>
          <w:fldChar w:fldCharType="end"/>
        </w:r>
      </w:p>
    </w:sdtContent>
  </w:sdt>
  <w:p w:rsidR="00F03A70" w:rsidRDefault="00F03A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A01" w:rsidRDefault="00556A01" w:rsidP="00ED3BD0">
      <w:pPr>
        <w:spacing w:after="0" w:line="240" w:lineRule="auto"/>
      </w:pPr>
      <w:r>
        <w:separator/>
      </w:r>
    </w:p>
  </w:footnote>
  <w:footnote w:type="continuationSeparator" w:id="0">
    <w:p w:rsidR="00556A01" w:rsidRDefault="00556A01" w:rsidP="00ED3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82"/>
    <w:rsid w:val="00004582"/>
    <w:rsid w:val="00016704"/>
    <w:rsid w:val="000274D5"/>
    <w:rsid w:val="000510FD"/>
    <w:rsid w:val="0005359A"/>
    <w:rsid w:val="000539D5"/>
    <w:rsid w:val="00061016"/>
    <w:rsid w:val="00074EFA"/>
    <w:rsid w:val="00075D87"/>
    <w:rsid w:val="000A021B"/>
    <w:rsid w:val="000B161A"/>
    <w:rsid w:val="000C7F53"/>
    <w:rsid w:val="000D206C"/>
    <w:rsid w:val="001125AF"/>
    <w:rsid w:val="00117E57"/>
    <w:rsid w:val="00157063"/>
    <w:rsid w:val="00171CC7"/>
    <w:rsid w:val="00186F79"/>
    <w:rsid w:val="001D0643"/>
    <w:rsid w:val="001D4533"/>
    <w:rsid w:val="001F300D"/>
    <w:rsid w:val="001F6F32"/>
    <w:rsid w:val="0021190B"/>
    <w:rsid w:val="002137FF"/>
    <w:rsid w:val="00223FFB"/>
    <w:rsid w:val="002319F3"/>
    <w:rsid w:val="0025742A"/>
    <w:rsid w:val="002A7FDB"/>
    <w:rsid w:val="002E00DD"/>
    <w:rsid w:val="002E6A61"/>
    <w:rsid w:val="00305AEF"/>
    <w:rsid w:val="00335376"/>
    <w:rsid w:val="00355416"/>
    <w:rsid w:val="00366DE0"/>
    <w:rsid w:val="0037443A"/>
    <w:rsid w:val="0037716E"/>
    <w:rsid w:val="003A4D54"/>
    <w:rsid w:val="003C3287"/>
    <w:rsid w:val="003D0C57"/>
    <w:rsid w:val="003D5325"/>
    <w:rsid w:val="003F5532"/>
    <w:rsid w:val="004015B9"/>
    <w:rsid w:val="00463901"/>
    <w:rsid w:val="004C3F10"/>
    <w:rsid w:val="004D2281"/>
    <w:rsid w:val="004E08AE"/>
    <w:rsid w:val="004E122C"/>
    <w:rsid w:val="00501AE3"/>
    <w:rsid w:val="0050714F"/>
    <w:rsid w:val="00514906"/>
    <w:rsid w:val="005329E8"/>
    <w:rsid w:val="00541DF8"/>
    <w:rsid w:val="00546412"/>
    <w:rsid w:val="00556A01"/>
    <w:rsid w:val="005670AA"/>
    <w:rsid w:val="00574C07"/>
    <w:rsid w:val="00584D6C"/>
    <w:rsid w:val="00584FA2"/>
    <w:rsid w:val="005934BB"/>
    <w:rsid w:val="0059413C"/>
    <w:rsid w:val="005971AD"/>
    <w:rsid w:val="005D0495"/>
    <w:rsid w:val="005F4E81"/>
    <w:rsid w:val="006065A7"/>
    <w:rsid w:val="00625B9D"/>
    <w:rsid w:val="00633776"/>
    <w:rsid w:val="00655DD9"/>
    <w:rsid w:val="00666DC0"/>
    <w:rsid w:val="006858E0"/>
    <w:rsid w:val="007004F1"/>
    <w:rsid w:val="007012EA"/>
    <w:rsid w:val="00702335"/>
    <w:rsid w:val="007141E9"/>
    <w:rsid w:val="00771045"/>
    <w:rsid w:val="00782641"/>
    <w:rsid w:val="007853B0"/>
    <w:rsid w:val="007957A2"/>
    <w:rsid w:val="007B13B4"/>
    <w:rsid w:val="0080152A"/>
    <w:rsid w:val="00833458"/>
    <w:rsid w:val="008416CA"/>
    <w:rsid w:val="008465E6"/>
    <w:rsid w:val="008674F2"/>
    <w:rsid w:val="008A28D1"/>
    <w:rsid w:val="008A4F2C"/>
    <w:rsid w:val="008B7A87"/>
    <w:rsid w:val="008C6C9B"/>
    <w:rsid w:val="00913248"/>
    <w:rsid w:val="00923E92"/>
    <w:rsid w:val="00930121"/>
    <w:rsid w:val="00933675"/>
    <w:rsid w:val="00936B5D"/>
    <w:rsid w:val="009449CF"/>
    <w:rsid w:val="00944BF1"/>
    <w:rsid w:val="00950D04"/>
    <w:rsid w:val="009546DF"/>
    <w:rsid w:val="0096280C"/>
    <w:rsid w:val="009634DC"/>
    <w:rsid w:val="00976366"/>
    <w:rsid w:val="00993D9F"/>
    <w:rsid w:val="009A2A6E"/>
    <w:rsid w:val="009B6715"/>
    <w:rsid w:val="009C3A21"/>
    <w:rsid w:val="009E093E"/>
    <w:rsid w:val="00A00DCF"/>
    <w:rsid w:val="00A205AF"/>
    <w:rsid w:val="00A2527C"/>
    <w:rsid w:val="00A626A7"/>
    <w:rsid w:val="00A675C3"/>
    <w:rsid w:val="00A916E5"/>
    <w:rsid w:val="00A9216E"/>
    <w:rsid w:val="00AA1580"/>
    <w:rsid w:val="00AD6B27"/>
    <w:rsid w:val="00AF507A"/>
    <w:rsid w:val="00B00122"/>
    <w:rsid w:val="00B02EE2"/>
    <w:rsid w:val="00B63632"/>
    <w:rsid w:val="00B81234"/>
    <w:rsid w:val="00B847D4"/>
    <w:rsid w:val="00B93296"/>
    <w:rsid w:val="00BA1FD5"/>
    <w:rsid w:val="00BB1389"/>
    <w:rsid w:val="00BB248B"/>
    <w:rsid w:val="00BD30F9"/>
    <w:rsid w:val="00BD358D"/>
    <w:rsid w:val="00BD5ECF"/>
    <w:rsid w:val="00BE018D"/>
    <w:rsid w:val="00C1365A"/>
    <w:rsid w:val="00C42761"/>
    <w:rsid w:val="00C54755"/>
    <w:rsid w:val="00C738B1"/>
    <w:rsid w:val="00C85C8C"/>
    <w:rsid w:val="00C97847"/>
    <w:rsid w:val="00CE1372"/>
    <w:rsid w:val="00D252DA"/>
    <w:rsid w:val="00D26DA3"/>
    <w:rsid w:val="00D3645C"/>
    <w:rsid w:val="00D51774"/>
    <w:rsid w:val="00D75A1E"/>
    <w:rsid w:val="00D775C9"/>
    <w:rsid w:val="00D80450"/>
    <w:rsid w:val="00D8681D"/>
    <w:rsid w:val="00DB7466"/>
    <w:rsid w:val="00DC621A"/>
    <w:rsid w:val="00DE0739"/>
    <w:rsid w:val="00E048A7"/>
    <w:rsid w:val="00E17142"/>
    <w:rsid w:val="00E53EBD"/>
    <w:rsid w:val="00E77AD6"/>
    <w:rsid w:val="00EA4D63"/>
    <w:rsid w:val="00EB470D"/>
    <w:rsid w:val="00EB74D6"/>
    <w:rsid w:val="00ED3BD0"/>
    <w:rsid w:val="00ED4BDD"/>
    <w:rsid w:val="00F011C1"/>
    <w:rsid w:val="00F03A70"/>
    <w:rsid w:val="00F04180"/>
    <w:rsid w:val="00F4188A"/>
    <w:rsid w:val="00F52DAF"/>
    <w:rsid w:val="00F6464B"/>
    <w:rsid w:val="00F72588"/>
    <w:rsid w:val="00F92760"/>
    <w:rsid w:val="00F95812"/>
    <w:rsid w:val="00FB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D729B"/>
  <w15:chartTrackingRefBased/>
  <w15:docId w15:val="{90C4E74D-4AE5-4A87-9FDA-E030AD1B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16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D3BD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D3BD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D3BD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F03A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A70"/>
  </w:style>
  <w:style w:type="paragraph" w:styleId="Piedepgina">
    <w:name w:val="footer"/>
    <w:basedOn w:val="Normal"/>
    <w:link w:val="PiedepginaCar"/>
    <w:uiPriority w:val="99"/>
    <w:unhideWhenUsed/>
    <w:rsid w:val="00F03A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A70"/>
  </w:style>
  <w:style w:type="character" w:styleId="Hipervnculo">
    <w:name w:val="Hyperlink"/>
    <w:basedOn w:val="Fuentedeprrafopredeter"/>
    <w:uiPriority w:val="99"/>
    <w:unhideWhenUsed/>
    <w:rsid w:val="007853B0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853B0"/>
    <w:rPr>
      <w:b/>
      <w:bCs/>
    </w:rPr>
  </w:style>
  <w:style w:type="character" w:styleId="nfasis">
    <w:name w:val="Emphasis"/>
    <w:basedOn w:val="Fuentedeprrafopredeter"/>
    <w:uiPriority w:val="20"/>
    <w:qFormat/>
    <w:rsid w:val="007853B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2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EE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B16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6280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6280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628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calderon\Desktop\Dra%20Yokasta%20Despacho\2020\junio\procedimientos%20de%20emergencia\16%20junio\Copia%20de%20Nuevos%20Proveedores%20del%201marzo%20al%2015junio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pivotSource>
    <c:name>[Copia de Nuevos Proveedores del 1marzo al 15junio 2020.xlsx]Pivot!TablaDinámica7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Distribución por género de proveedores (as) inscritos a partir del inicio de la declaratoria de estado de emergencia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ivotFmts>
      <c:pivotFmt>
        <c:idx val="0"/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  <c:marker>
          <c:symbol val="circle"/>
          <c:size val="6"/>
        </c:marker>
        <c:dLbl>
          <c:idx val="0"/>
          <c:spPr>
            <a:pattFill prst="pct75">
              <a:fgClr>
                <a:sysClr val="windowText" lastClr="000000">
                  <a:lumMod val="75000"/>
                  <a:lumOff val="25000"/>
                </a:sysClr>
              </a:fgClr>
              <a:bgClr>
                <a:sysClr val="windowText" lastClr="000000">
                  <a:lumMod val="65000"/>
                  <a:lumOff val="35000"/>
                </a:sys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  <c:marker>
          <c:symbol val="none"/>
        </c:marker>
        <c:dLbl>
          <c:idx val="0"/>
          <c:spPr>
            <a:pattFill prst="pct75">
              <a:fgClr>
                <a:sysClr val="windowText" lastClr="000000">
                  <a:lumMod val="75000"/>
                  <a:lumOff val="25000"/>
                </a:sysClr>
              </a:fgClr>
              <a:bgClr>
                <a:sysClr val="windowText" lastClr="000000">
                  <a:lumMod val="65000"/>
                  <a:lumOff val="35000"/>
                </a:sys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  <c:marker>
          <c:symbol val="none"/>
        </c:marker>
        <c:dLbl>
          <c:idx val="0"/>
          <c:spPr>
            <a:pattFill prst="pct75">
              <a:fgClr>
                <a:sysClr val="windowText" lastClr="000000">
                  <a:lumMod val="75000"/>
                  <a:lumOff val="25000"/>
                </a:sysClr>
              </a:fgClr>
              <a:bgClr>
                <a:sysClr val="windowText" lastClr="000000">
                  <a:lumMod val="65000"/>
                  <a:lumOff val="35000"/>
                </a:sys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</c:spPr>
      </c:pivotFmt>
    </c:pivotFmts>
    <c:plotArea>
      <c:layout/>
      <c:pieChart>
        <c:varyColors val="1"/>
        <c:ser>
          <c:idx val="0"/>
          <c:order val="0"/>
          <c:tx>
            <c:strRef>
              <c:f>Pivot!$B$3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73-4528-9221-0FD8F25F37F7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73-4528-9221-0FD8F25F37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Pivot!$A$4:$A$6</c:f>
              <c:strCache>
                <c:ptCount val="2"/>
                <c:pt idx="0">
                  <c:v>Femenino</c:v>
                </c:pt>
                <c:pt idx="1">
                  <c:v>Masculino</c:v>
                </c:pt>
              </c:strCache>
            </c:strRef>
          </c:cat>
          <c:val>
            <c:numRef>
              <c:f>Pivot!$B$4:$B$6</c:f>
              <c:numCache>
                <c:formatCode>General</c:formatCode>
                <c:ptCount val="2"/>
                <c:pt idx="0">
                  <c:v>223</c:v>
                </c:pt>
                <c:pt idx="1">
                  <c:v>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73-4528-9221-0FD8F25F37F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757874015748026"/>
          <c:y val="0.49194371536891224"/>
          <c:w val="0.15131014873140858"/>
          <c:h val="0.15625109361329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100" b="1" i="0" baseline="0" dirty="0">
                <a:effectLst/>
              </a:rPr>
              <a:t>Distribución de Monto Contratado por Clasificación Empresarial</a:t>
            </a:r>
            <a:endParaRPr lang="es-DO" sz="1100" dirty="0">
              <a:effectLst/>
            </a:endParaRPr>
          </a:p>
          <a:p>
            <a:pPr>
              <a:defRPr sz="1100"/>
            </a:pPr>
            <a:r>
              <a:rPr lang="es-DO" sz="1100" b="1" i="0" baseline="0" dirty="0">
                <a:effectLst/>
              </a:rPr>
              <a:t>Compras de Emergencia por COVID-19</a:t>
            </a:r>
            <a:endParaRPr lang="es-DO" sz="1100" dirty="0">
              <a:effectLst/>
            </a:endParaRPr>
          </a:p>
          <a:p>
            <a:pPr>
              <a:defRPr sz="1100"/>
            </a:pPr>
            <a:r>
              <a:rPr lang="es-DO" sz="1100" b="1" i="0" baseline="0" dirty="0">
                <a:effectLst/>
              </a:rPr>
              <a:t>Euros</a:t>
            </a:r>
            <a:endParaRPr lang="es-DO" sz="1100" dirty="0">
              <a:effectLst/>
            </a:endParaRPr>
          </a:p>
        </c:rich>
      </c:tx>
      <c:layout>
        <c:manualLayout>
          <c:xMode val="edge"/>
          <c:yMode val="edge"/>
          <c:x val="0.10956696617062096"/>
          <c:y val="1.30786355146349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21854051237204175"/>
          <c:y val="0.19923500901991281"/>
          <c:w val="0.51450622645238964"/>
          <c:h val="0.7965221916561309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3D-487E-B1D8-A3B842E276F8}"/>
              </c:ext>
            </c:extLst>
          </c:dPt>
          <c:dPt>
            <c:idx val="1"/>
            <c:bubble3D val="0"/>
            <c:explosion val="5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3D-487E-B1D8-A3B842E276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3D-487E-B1D8-A3B842E276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3D-487E-B1D8-A3B842E276F8}"/>
              </c:ext>
            </c:extLst>
          </c:dPt>
          <c:dLbls>
            <c:dLbl>
              <c:idx val="0"/>
              <c:layout>
                <c:manualLayout>
                  <c:x val="-0.23116110486189226"/>
                  <c:y val="0.108643068988304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D50F334-876F-4074-A4E5-446E3FCB3247}" type="CATEGORYNAME">
                      <a:rPr lang="en-US" sz="1050"/>
                      <a:pPr>
                        <a:defRPr sz="1050" b="1"/>
                      </a:pPr>
                      <a:t>[NOMBRE DE CATEGORÍA]</a:t>
                    </a:fld>
                    <a:r>
                      <a:rPr lang="en-US" sz="1050" baseline="0" dirty="0"/>
                      <a:t>
</a:t>
                    </a:r>
                    <a:r>
                      <a:rPr lang="en-US" sz="1050" b="1" i="0" u="none" strike="noStrike" kern="1200" baseline="0" dirty="0">
                        <a:solidFill>
                          <a:srgbClr val="000000">
                            <a:lumMod val="75000"/>
                            <a:lumOff val="25000"/>
                          </a:srgbClr>
                        </a:solidFill>
                        <a:latin typeface="+mn-lt"/>
                      </a:rPr>
                      <a:t>€3,181,757</a:t>
                    </a:r>
                    <a:r>
                      <a:rPr lang="en-US" sz="1050" baseline="0" dirty="0"/>
                      <a:t>
</a:t>
                    </a:r>
                    <a:fld id="{58ED401C-9507-4047-A81C-8D5D5F2BB27D}" type="PERCENTAGE">
                      <a:rPr lang="en-US" sz="1050" baseline="0" smtClean="0"/>
                      <a:pPr>
                        <a:defRPr sz="1050" b="1"/>
                      </a:pPr>
                      <a:t>[PORCENTAJE]</a:t>
                    </a:fld>
                    <a:endParaRPr lang="en-US" sz="1050" baseline="0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23D-487E-B1D8-A3B842E276F8}"/>
                </c:ext>
              </c:extLst>
            </c:dLbl>
            <c:dLbl>
              <c:idx val="1"/>
              <c:layout>
                <c:manualLayout>
                  <c:x val="-0.19508418590533327"/>
                  <c:y val="7.9896389248449357E-2"/>
                </c:manualLayout>
              </c:layout>
              <c:tx>
                <c:rich>
                  <a:bodyPr/>
                  <a:lstStyle/>
                  <a:p>
                    <a:fld id="{7B2F2DEC-A41C-4771-A98D-10FC90B3A282}" type="CATEGORYNAME">
                      <a:rPr lang="en-US" sz="1050"/>
                      <a:pPr/>
                      <a:t>[NOMBRE DE CATEGORÍA]</a:t>
                    </a:fld>
                    <a:r>
                      <a:rPr lang="en-US" sz="1050" baseline="0" dirty="0"/>
                      <a:t>
</a:t>
                    </a:r>
                    <a:r>
                      <a:rPr lang="en-US" sz="1050" b="1" i="0" u="none" strike="noStrike" kern="1200" baseline="0" dirty="0">
                        <a:solidFill>
                          <a:schemeClr val="bg1"/>
                        </a:solidFill>
                      </a:rPr>
                      <a:t>€76,251,491</a:t>
                    </a:r>
                    <a:r>
                      <a:rPr lang="en-US" sz="1050" baseline="0" dirty="0"/>
                      <a:t>
</a:t>
                    </a:r>
                    <a:fld id="{7AD454DC-273C-4E98-ACA2-0BED321A3049}" type="PERCENTAGE">
                      <a:rPr lang="en-US" sz="1050" baseline="0" smtClean="0"/>
                      <a:pPr/>
                      <a:t>[PORCENTAJE]</a:t>
                    </a:fld>
                    <a:endParaRPr lang="en-US" sz="1050" baseline="0" dirty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23D-487E-B1D8-A3B842E276F8}"/>
                </c:ext>
              </c:extLst>
            </c:dLbl>
            <c:dLbl>
              <c:idx val="2"/>
              <c:layout>
                <c:manualLayout>
                  <c:x val="0.24160828110771868"/>
                  <c:y val="-0.1222528027797726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116A320-67CD-421E-84F0-274C187CBA1C}" type="CATEGORYNAME">
                      <a:rPr lang="en-US" sz="1050"/>
                      <a:pPr>
                        <a:defRPr sz="1050" b="1">
                          <a:solidFill>
                            <a:schemeClr val="bg1"/>
                          </a:solidFill>
                        </a:defRPr>
                      </a:pPr>
                      <a:t>[NOMBRE DE CATEGORÍA]</a:t>
                    </a:fld>
                    <a:r>
                      <a:rPr lang="en-US" sz="1050" baseline="0" dirty="0"/>
                      <a:t>
</a:t>
                    </a:r>
                    <a:r>
                      <a:rPr lang="en-US" sz="1050" b="1" i="0" u="none" strike="noStrike" kern="1200" baseline="0" dirty="0">
                        <a:solidFill>
                          <a:schemeClr val="bg1"/>
                        </a:solidFill>
                      </a:rPr>
                      <a:t>€116,265,066</a:t>
                    </a:r>
                    <a:r>
                      <a:rPr lang="en-US" sz="1050" baseline="0" dirty="0"/>
                      <a:t>
</a:t>
                    </a:r>
                    <a:fld id="{3740320E-E1F9-4D4F-9957-4768F8D68FE0}" type="PERCENTAGE">
                      <a:rPr lang="en-US" sz="1050" baseline="0" smtClean="0"/>
                      <a:pPr>
                        <a:defRPr sz="1050" b="1">
                          <a:solidFill>
                            <a:schemeClr val="bg1"/>
                          </a:solidFill>
                        </a:defRPr>
                      </a:pPr>
                      <a:t>[PORCENTAJE]</a:t>
                    </a:fld>
                    <a:endParaRPr lang="en-US" sz="1050" baseline="0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724724317006986"/>
                      <c:h val="0.1844717291062487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23D-487E-B1D8-A3B842E276F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3D-487E-B1D8-A3B842E276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'Analisis Contratos COVID-19'!$A$21:$A$24</c:f>
              <c:strCache>
                <c:ptCount val="4"/>
                <c:pt idx="0">
                  <c:v>Gran empresa</c:v>
                </c:pt>
                <c:pt idx="1">
                  <c:v>MIPYMES</c:v>
                </c:pt>
                <c:pt idx="2">
                  <c:v>No Clasificadas</c:v>
                </c:pt>
                <c:pt idx="3">
                  <c:v>(blank)</c:v>
                </c:pt>
              </c:strCache>
            </c:strRef>
          </c:cat>
          <c:val>
            <c:numRef>
              <c:f>'Analisis Contratos COVID-19'!$B$21:$B$24</c:f>
              <c:numCache>
                <c:formatCode>"EUR "#,##0</c:formatCode>
                <c:ptCount val="4"/>
                <c:pt idx="0">
                  <c:v>3181757.3747365139</c:v>
                </c:pt>
                <c:pt idx="1">
                  <c:v>76251491.059540823</c:v>
                </c:pt>
                <c:pt idx="2">
                  <c:v>116265066.05939324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23D-487E-B1D8-A3B842E276F8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 i="0" baseline="0" dirty="0">
                <a:effectLst/>
              </a:rPr>
              <a:t>Distribución de Monto Contratado por Género</a:t>
            </a:r>
            <a:endParaRPr lang="es-DO" sz="1200" b="1" dirty="0">
              <a:effectLst/>
            </a:endParaRPr>
          </a:p>
          <a:p>
            <a:pPr>
              <a:defRPr sz="1100"/>
            </a:pPr>
            <a:r>
              <a:rPr lang="es-DO" sz="1200" b="1" i="0" baseline="0" dirty="0">
                <a:effectLst/>
              </a:rPr>
              <a:t>Compras de Emergencia por COVID-19</a:t>
            </a:r>
            <a:endParaRPr lang="es-DO" sz="1200" b="1" dirty="0">
              <a:effectLst/>
            </a:endParaRPr>
          </a:p>
          <a:p>
            <a:pPr>
              <a:defRPr sz="1100"/>
            </a:pPr>
            <a:r>
              <a:rPr lang="es-DO" sz="1200" b="1" i="0" baseline="0" dirty="0">
                <a:effectLst/>
              </a:rPr>
              <a:t>Euros</a:t>
            </a:r>
            <a:endParaRPr lang="es-DO" sz="1200" b="1" dirty="0">
              <a:effectLst/>
            </a:endParaRPr>
          </a:p>
        </c:rich>
      </c:tx>
      <c:layout>
        <c:manualLayout>
          <c:xMode val="edge"/>
          <c:yMode val="edge"/>
          <c:x val="0.17082297887797945"/>
          <c:y val="2.3664593846372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23529054797593996"/>
          <c:y val="0.24889386069895095"/>
          <c:w val="0.53734749258037662"/>
          <c:h val="0.77435904668560473"/>
        </c:manualLayout>
      </c:layout>
      <c:pieChart>
        <c:varyColors val="1"/>
        <c:ser>
          <c:idx val="0"/>
          <c:order val="0"/>
          <c:tx>
            <c:strRef>
              <c:f>'Analisis Contratos COVID-19'!$B$21</c:f>
              <c:strCache>
                <c:ptCount val="1"/>
                <c:pt idx="0">
                  <c:v>EUR 3,181,757</c:v>
                </c:pt>
              </c:strCache>
            </c:strRef>
          </c:tx>
          <c:dPt>
            <c:idx val="0"/>
            <c:bubble3D val="0"/>
            <c:explosion val="5"/>
            <c:spPr>
              <a:solidFill>
                <a:srgbClr val="003B8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E2-4C42-81C5-4AA77D0432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E2-4C42-81C5-4AA77D0432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E2-4C42-81C5-4AA77D043276}"/>
              </c:ext>
            </c:extLst>
          </c:dPt>
          <c:dLbls>
            <c:dLbl>
              <c:idx val="0"/>
              <c:layout>
                <c:manualLayout>
                  <c:x val="-0.20836397824763089"/>
                  <c:y val="0.2085022293551294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ADD50B0-BFB4-4649-9E4C-DEA909CE4B79}" type="CATEGORYNAME">
                      <a:rPr lang="en-US" sz="1050">
                        <a:latin typeface="+mn-lt"/>
                      </a:rPr>
                      <a:pPr>
                        <a:defRPr sz="1050" b="1">
                          <a:solidFill>
                            <a:schemeClr val="bg1"/>
                          </a:solidFill>
                        </a:defRPr>
                      </a:pPr>
                      <a:t>[NOMBRE DE CATEGORÍA]</a:t>
                    </a:fld>
                    <a:r>
                      <a:rPr lang="en-US" sz="1050" baseline="0">
                        <a:latin typeface="+mn-lt"/>
                      </a:rPr>
                      <a:t>
</a:t>
                    </a:r>
                    <a:r>
                      <a:rPr lang="en-US" sz="1050" baseline="0">
                        <a:latin typeface="+mn-lt"/>
                        <a:cs typeface="Times New Roman" panose="02020603050405020304" pitchFamily="18" charset="0"/>
                      </a:rPr>
                      <a:t>€36,735,593</a:t>
                    </a:r>
                    <a:r>
                      <a:rPr lang="en-US" sz="1050" baseline="0">
                        <a:latin typeface="+mn-lt"/>
                      </a:rPr>
                      <a:t>
</a:t>
                    </a:r>
                    <a:fld id="{38CF1891-96E9-44B3-965A-D1220262B03F}" type="PERCENTAGE">
                      <a:rPr lang="en-US" sz="1050" baseline="0">
                        <a:latin typeface="+mn-lt"/>
                      </a:rPr>
                      <a:pPr>
                        <a:defRPr sz="1050" b="1">
                          <a:solidFill>
                            <a:schemeClr val="bg1"/>
                          </a:solidFill>
                        </a:defRPr>
                      </a:pPr>
                      <a:t>[PORCENTAJE]</a:t>
                    </a:fld>
                    <a:endParaRPr lang="en-US" sz="1050" baseline="0">
                      <a:latin typeface="+mn-lt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1595166615027936"/>
                      <c:h val="0.1616704317032967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3E2-4C42-81C5-4AA77D043276}"/>
                </c:ext>
              </c:extLst>
            </c:dLbl>
            <c:dLbl>
              <c:idx val="1"/>
              <c:layout>
                <c:manualLayout>
                  <c:x val="0.24650113783266916"/>
                  <c:y val="-0.1885514907953175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F1D759D-F41E-47EA-A734-455772EF27AD}" type="CATEGORYNAME">
                      <a:rPr lang="en-US" sz="1050"/>
                      <a:pPr>
                        <a:defRPr sz="1050" b="1">
                          <a:solidFill>
                            <a:schemeClr val="bg1"/>
                          </a:solidFill>
                        </a:defRPr>
                      </a:pPr>
                      <a:t>[NOMBRE DE CATEGORÍA]</a:t>
                    </a:fld>
                    <a:r>
                      <a:rPr lang="en-US" sz="1050" baseline="0"/>
                      <a:t>
</a:t>
                    </a:r>
                    <a:r>
                      <a:rPr lang="en-US" sz="1050" baseline="0">
                        <a:latin typeface="Raleway Medium" panose="020B0603030101060003" pitchFamily="34" charset="0"/>
                        <a:cs typeface="Times New Roman" panose="02020603050405020304" pitchFamily="18" charset="0"/>
                      </a:rPr>
                      <a:t>€</a:t>
                    </a:r>
                    <a:r>
                      <a:rPr lang="en-US" sz="1050" b="1" i="0" u="none" strike="noStrike" kern="1200" baseline="0">
                        <a:solidFill>
                          <a:srgbClr val="FFFFFF"/>
                        </a:solidFill>
                      </a:rPr>
                      <a:t>158,739,638</a:t>
                    </a:r>
                    <a:r>
                      <a:rPr lang="en-US" sz="1050" baseline="0"/>
                      <a:t>
</a:t>
                    </a:r>
                    <a:fld id="{EB26F445-9074-4378-98D5-D8B3523E7D89}" type="PERCENTAGE">
                      <a:rPr lang="en-US" sz="1050" baseline="0"/>
                      <a:pPr>
                        <a:defRPr sz="1050" b="1">
                          <a:solidFill>
                            <a:schemeClr val="bg1"/>
                          </a:solidFill>
                        </a:defRPr>
                      </a:pPr>
                      <a:t>[PORCENTAJE]</a:t>
                    </a:fld>
                    <a:endParaRPr lang="en-US" sz="105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94666768348872"/>
                      <c:h val="0.1798612819377668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3E2-4C42-81C5-4AA77D04327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E2-4C42-81C5-4AA77D0432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'Analisis Contratos COVID-19'!$A$33:$A$35</c:f>
              <c:strCache>
                <c:ptCount val="3"/>
                <c:pt idx="0">
                  <c:v>Femenino</c:v>
                </c:pt>
                <c:pt idx="1">
                  <c:v>Masculino</c:v>
                </c:pt>
                <c:pt idx="2">
                  <c:v>No Especificado</c:v>
                </c:pt>
              </c:strCache>
            </c:strRef>
          </c:cat>
          <c:val>
            <c:numRef>
              <c:f>'Analisis Contratos COVID-19'!$B$33:$B$35</c:f>
              <c:numCache>
                <c:formatCode>"EUR "#,##0</c:formatCode>
                <c:ptCount val="3"/>
                <c:pt idx="0">
                  <c:v>36735593.10222353</c:v>
                </c:pt>
                <c:pt idx="1">
                  <c:v>158739637.96994323</c:v>
                </c:pt>
                <c:pt idx="2">
                  <c:v>223083.42150373597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E2-4C42-81C5-4AA77D04327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ueva Plantilla 2018">
    <a:dk1>
      <a:srgbClr val="000000"/>
    </a:dk1>
    <a:lt1>
      <a:srgbClr val="FFFFFF"/>
    </a:lt1>
    <a:dk2>
      <a:srgbClr val="53585F"/>
    </a:dk2>
    <a:lt2>
      <a:srgbClr val="EEEEEE"/>
    </a:lt2>
    <a:accent1>
      <a:srgbClr val="317AE8"/>
    </a:accent1>
    <a:accent2>
      <a:srgbClr val="3E6EB3"/>
    </a:accent2>
    <a:accent3>
      <a:srgbClr val="003B84"/>
    </a:accent3>
    <a:accent4>
      <a:srgbClr val="2B3950"/>
    </a:accent4>
    <a:accent5>
      <a:srgbClr val="14A1FF"/>
    </a:accent5>
    <a:accent6>
      <a:srgbClr val="99CCFF"/>
    </a:accent6>
    <a:hlink>
      <a:srgbClr val="D83837"/>
    </a:hlink>
    <a:folHlink>
      <a:srgbClr val="FEC001"/>
    </a:folHlink>
  </a:clrScheme>
  <a:fontScheme name="White">
    <a:majorFont>
      <a:latin typeface="Raleway ExtraBold"/>
      <a:ea typeface="Raleway ExtraBold"/>
      <a:cs typeface="Raleway ExtraBold"/>
    </a:majorFont>
    <a:minorFont>
      <a:latin typeface="Raleway Medium"/>
      <a:ea typeface="Raleway Medium"/>
      <a:cs typeface="Raleway Medium"/>
    </a:minorFont>
  </a:fontScheme>
  <a:fmtScheme name="Whit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ueva Plantilla 2018">
    <a:dk1>
      <a:srgbClr val="000000"/>
    </a:dk1>
    <a:lt1>
      <a:srgbClr val="FFFFFF"/>
    </a:lt1>
    <a:dk2>
      <a:srgbClr val="53585F"/>
    </a:dk2>
    <a:lt2>
      <a:srgbClr val="EEEEEE"/>
    </a:lt2>
    <a:accent1>
      <a:srgbClr val="317AE8"/>
    </a:accent1>
    <a:accent2>
      <a:srgbClr val="3E6EB3"/>
    </a:accent2>
    <a:accent3>
      <a:srgbClr val="003B84"/>
    </a:accent3>
    <a:accent4>
      <a:srgbClr val="2B3950"/>
    </a:accent4>
    <a:accent5>
      <a:srgbClr val="14A1FF"/>
    </a:accent5>
    <a:accent6>
      <a:srgbClr val="99CCFF"/>
    </a:accent6>
    <a:hlink>
      <a:srgbClr val="D83837"/>
    </a:hlink>
    <a:folHlink>
      <a:srgbClr val="FEC001"/>
    </a:folHlink>
  </a:clrScheme>
  <a:fontScheme name="White">
    <a:majorFont>
      <a:latin typeface="Raleway ExtraBold"/>
      <a:ea typeface="Raleway ExtraBold"/>
      <a:cs typeface="Raleway ExtraBold"/>
    </a:majorFont>
    <a:minorFont>
      <a:latin typeface="Raleway Medium"/>
      <a:ea typeface="Raleway Medium"/>
      <a:cs typeface="Raleway Medium"/>
    </a:minorFont>
  </a:fontScheme>
  <a:fmtScheme name="Whit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27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A572E-0FF2-444D-8F8A-269CB5DF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825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4</cp:revision>
  <cp:lastPrinted>2020-06-24T07:43:00Z</cp:lastPrinted>
  <dcterms:created xsi:type="dcterms:W3CDTF">2020-06-24T07:44:00Z</dcterms:created>
  <dcterms:modified xsi:type="dcterms:W3CDTF">2020-06-24T08:38:00Z</dcterms:modified>
</cp:coreProperties>
</file>