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400CD" w14:textId="3026B719" w:rsidR="00661F24" w:rsidRPr="00661F24" w:rsidRDefault="00661F24" w:rsidP="00661F24">
      <w:pPr>
        <w:shd w:val="clear" w:color="auto" w:fill="FFFFFF"/>
        <w:spacing w:before="360" w:after="180"/>
        <w:jc w:val="both"/>
        <w:outlineLvl w:val="4"/>
        <w:rPr>
          <w:rFonts w:ascii="Book Antiqua" w:hAnsi="Book Antiqua"/>
          <w:b/>
          <w:bCs/>
          <w:color w:val="0070C0"/>
        </w:rPr>
      </w:pPr>
      <w:r w:rsidRPr="00661F24">
        <w:rPr>
          <w:rFonts w:ascii="Book Antiqua" w:hAnsi="Book Antiqua"/>
          <w:b/>
          <w:bCs/>
          <w:color w:val="0070C0"/>
        </w:rPr>
        <w:t>Sentencia</w:t>
      </w:r>
      <w:r>
        <w:rPr>
          <w:rFonts w:ascii="Book Antiqua" w:hAnsi="Book Antiqua"/>
          <w:b/>
          <w:bCs/>
          <w:color w:val="0070C0"/>
        </w:rPr>
        <w:t xml:space="preserve"> Tribunal Constitucional</w:t>
      </w:r>
      <w:r w:rsidRPr="00661F24">
        <w:rPr>
          <w:rFonts w:ascii="Book Antiqua" w:hAnsi="Book Antiqua"/>
          <w:b/>
          <w:bCs/>
          <w:color w:val="0070C0"/>
        </w:rPr>
        <w:t xml:space="preserve"> de 18</w:t>
      </w:r>
      <w:r>
        <w:rPr>
          <w:rFonts w:ascii="Book Antiqua" w:hAnsi="Book Antiqua"/>
          <w:b/>
          <w:bCs/>
          <w:color w:val="0070C0"/>
        </w:rPr>
        <w:t xml:space="preserve"> de marzo de </w:t>
      </w:r>
      <w:r w:rsidRPr="00661F24">
        <w:rPr>
          <w:rFonts w:ascii="Book Antiqua" w:hAnsi="Book Antiqua"/>
          <w:b/>
          <w:bCs/>
          <w:color w:val="0070C0"/>
        </w:rPr>
        <w:t>2021. Recurso de inconstitucionalidad del Gobierno de Aragón contra la LCSP</w:t>
      </w:r>
    </w:p>
    <w:p w14:paraId="2DB6F207" w14:textId="5CD32038" w:rsidR="005007A9" w:rsidRPr="00314D55" w:rsidRDefault="005007A9" w:rsidP="00314D55">
      <w:pPr>
        <w:pStyle w:val="Prrafodelista"/>
        <w:numPr>
          <w:ilvl w:val="0"/>
          <w:numId w:val="1"/>
        </w:numPr>
        <w:shd w:val="clear" w:color="auto" w:fill="FFFFFF"/>
        <w:spacing w:before="360" w:after="180"/>
        <w:jc w:val="both"/>
        <w:outlineLvl w:val="4"/>
        <w:rPr>
          <w:rFonts w:ascii="Book Antiqua" w:eastAsia="Times New Roman" w:hAnsi="Book Antiqua" w:cs="Times New Roman"/>
          <w:b/>
          <w:bCs/>
          <w:color w:val="FF0000"/>
          <w:lang w:eastAsia="es-ES_tradnl"/>
        </w:rPr>
      </w:pPr>
      <w:r w:rsidRPr="00314D55">
        <w:rPr>
          <w:rFonts w:ascii="Book Antiqua" w:eastAsia="Times New Roman" w:hAnsi="Book Antiqua" w:cs="Times New Roman"/>
          <w:b/>
          <w:bCs/>
          <w:color w:val="FF0000"/>
          <w:lang w:eastAsia="es-ES_tradnl"/>
        </w:rPr>
        <w:t>PRECEPTOS INCONSTITUCIONALES Y NULOS</w:t>
      </w:r>
    </w:p>
    <w:p w14:paraId="353BF8C7" w14:textId="04683B48" w:rsidR="008A13A7" w:rsidRPr="008A13A7" w:rsidRDefault="008A13A7" w:rsidP="00314D55">
      <w:pPr>
        <w:shd w:val="clear" w:color="auto" w:fill="FFFFFF"/>
        <w:spacing w:before="360" w:after="180"/>
        <w:jc w:val="both"/>
        <w:outlineLvl w:val="4"/>
        <w:rPr>
          <w:rFonts w:ascii="Book Antiqua" w:hAnsi="Book Antiqua"/>
          <w:b/>
          <w:bCs/>
          <w:color w:val="000000"/>
        </w:rPr>
      </w:pPr>
      <w:r w:rsidRPr="008A13A7">
        <w:rPr>
          <w:rFonts w:ascii="Book Antiqua" w:hAnsi="Book Antiqua"/>
          <w:b/>
          <w:bCs/>
          <w:color w:val="000000"/>
        </w:rPr>
        <w:t>Artículo 46. Órgano competente para la resolución del recurso en las Comunidades Autónomas y Entidades Locales.</w:t>
      </w:r>
    </w:p>
    <w:p w14:paraId="58C3B9CA" w14:textId="77777777" w:rsidR="008A13A7" w:rsidRPr="008A13A7" w:rsidRDefault="008A13A7" w:rsidP="00314D55">
      <w:pPr>
        <w:shd w:val="clear" w:color="auto" w:fill="FFFFFF"/>
        <w:spacing w:before="180" w:after="180"/>
        <w:ind w:firstLine="360"/>
        <w:jc w:val="both"/>
        <w:rPr>
          <w:rFonts w:ascii="Book Antiqua" w:hAnsi="Book Antiqua"/>
          <w:color w:val="000000"/>
        </w:rPr>
      </w:pPr>
      <w:r w:rsidRPr="008A13A7">
        <w:rPr>
          <w:rFonts w:ascii="Book Antiqua" w:hAnsi="Book Antiqua"/>
          <w:color w:val="000000"/>
        </w:rPr>
        <w:t>1. En el ámbito de las Comunidades Autónomas, la competencia para resolver los recursos será establecida por sus normas respectivas, debiendo crear un órgano independiente cuyo titular, o en el caso de que fuera colegiado al menos su Presidente, ostente cualificaciones jurídicas y profesionales que garanticen un adecuado conocimiento de las materias que sean de su competencia. El nombramiento de los miembros de esta instancia independiente y la terminación de su mandato estarán sujetos en lo relativo a la autoridad responsable de su nombramiento, la duración de su mandato y su revocabilidad a condiciones que garanticen su independencia e inamovilidad.</w:t>
      </w:r>
    </w:p>
    <w:p w14:paraId="67BB6FDE" w14:textId="77777777" w:rsidR="008A13A7" w:rsidRPr="008A13A7" w:rsidRDefault="008A13A7" w:rsidP="00314D55">
      <w:pPr>
        <w:shd w:val="clear" w:color="auto" w:fill="FFFFFF"/>
        <w:spacing w:before="180" w:after="180"/>
        <w:ind w:firstLine="360"/>
        <w:jc w:val="both"/>
        <w:rPr>
          <w:rFonts w:ascii="Book Antiqua" w:hAnsi="Book Antiqua"/>
          <w:color w:val="000000"/>
        </w:rPr>
      </w:pPr>
      <w:r w:rsidRPr="008A13A7">
        <w:rPr>
          <w:rFonts w:ascii="Book Antiqua" w:hAnsi="Book Antiqua"/>
          <w:color w:val="000000"/>
        </w:rPr>
        <w:t>2. Podrán las Comunidades Autónomas, asimismo, atribuir la competencia para la resolución de los recursos al Tribunal Administrativo Central de Recursos Contractuales. A tal efecto, deberán celebrar el correspondiente convenio con la Administración General del Estado, en el que se estipulen las condiciones en que la Comunidad sufragará los gastos derivados de esta asunción de competencias.</w:t>
      </w:r>
    </w:p>
    <w:p w14:paraId="1CBF90A9" w14:textId="77777777" w:rsidR="008A13A7" w:rsidRPr="008A13A7" w:rsidRDefault="008A13A7" w:rsidP="00314D55">
      <w:pPr>
        <w:shd w:val="clear" w:color="auto" w:fill="FFFFFF"/>
        <w:spacing w:before="180" w:after="180"/>
        <w:ind w:firstLine="360"/>
        <w:jc w:val="both"/>
        <w:rPr>
          <w:rFonts w:ascii="Book Antiqua" w:hAnsi="Book Antiqua"/>
          <w:color w:val="000000"/>
        </w:rPr>
      </w:pPr>
      <w:r w:rsidRPr="008A13A7">
        <w:rPr>
          <w:rFonts w:ascii="Book Antiqua" w:hAnsi="Book Antiqua"/>
          <w:color w:val="000000"/>
        </w:rPr>
        <w:t>3. Las Ciudades Autónomas de Ceuta y Melilla podrán designar sus propios órganos independientes ajustándose a los requisitos establecidos en este apartado para los órganos de las Comunidades Autónomas, o bien atribuir la competencia al Tribunal Administrativo Central de Recursos Contractuales celebrando al efecto un convenio en los términos previstos en el apartado anterior.</w:t>
      </w:r>
    </w:p>
    <w:p w14:paraId="7C1D6447" w14:textId="77777777" w:rsidR="008A13A7" w:rsidRPr="008A13A7" w:rsidRDefault="008A13A7" w:rsidP="00314D55">
      <w:pPr>
        <w:shd w:val="clear" w:color="auto" w:fill="FFFFFF"/>
        <w:spacing w:before="180" w:after="180"/>
        <w:ind w:firstLine="360"/>
        <w:jc w:val="both"/>
        <w:rPr>
          <w:rFonts w:ascii="Book Antiqua" w:hAnsi="Book Antiqua"/>
          <w:color w:val="000000"/>
        </w:rPr>
      </w:pPr>
      <w:r w:rsidRPr="008A13A7">
        <w:rPr>
          <w:rFonts w:ascii="Book Antiqua" w:hAnsi="Book Antiqua"/>
          <w:color w:val="000000"/>
        </w:rPr>
        <w:t>4. En lo relativo a la contratación en el ámbito de las Corporaciones Locales, la competencia para resolver los recursos será establecida por las normas de las Comunidades Autónomas cuando estas tengan atribuida competencia normativa y de ejecución en materia de régimen local y contratación.</w:t>
      </w:r>
    </w:p>
    <w:p w14:paraId="0E9D038A" w14:textId="77777777" w:rsidR="008A13A7" w:rsidRPr="008A13A7" w:rsidRDefault="008A13A7" w:rsidP="00314D55">
      <w:pPr>
        <w:shd w:val="clear" w:color="auto" w:fill="FFFFFF"/>
        <w:spacing w:before="180" w:after="180"/>
        <w:ind w:firstLine="360"/>
        <w:jc w:val="both"/>
        <w:rPr>
          <w:rFonts w:ascii="Book Antiqua" w:hAnsi="Book Antiqua"/>
          <w:color w:val="FF0000"/>
        </w:rPr>
      </w:pPr>
      <w:r w:rsidRPr="008A13A7">
        <w:rPr>
          <w:rFonts w:ascii="Book Antiqua" w:hAnsi="Book Antiqua"/>
          <w:color w:val="FF0000"/>
        </w:rPr>
        <w:t>En el supuesto de que no exista previsión expresa en la legislación autonómica y sin perjuicio de lo dispuesto en el párrafo siguiente, la competencia para resolver los recursos corresponderá al mismo órgano al que las Comunidades Autónomas en cuyo territorio se integran las Corporaciones Locales hayan atribuido la competencia para resolver los recursos de su ámbito.</w:t>
      </w:r>
    </w:p>
    <w:p w14:paraId="389D6F78" w14:textId="77777777" w:rsidR="008A13A7" w:rsidRPr="008A13A7" w:rsidRDefault="008A13A7" w:rsidP="00314D55">
      <w:pPr>
        <w:shd w:val="clear" w:color="auto" w:fill="FFFFFF"/>
        <w:spacing w:before="180" w:after="180"/>
        <w:ind w:firstLine="360"/>
        <w:jc w:val="both"/>
        <w:rPr>
          <w:rFonts w:ascii="Book Antiqua" w:hAnsi="Book Antiqua"/>
          <w:color w:val="000000"/>
        </w:rPr>
      </w:pPr>
      <w:r w:rsidRPr="008A13A7">
        <w:rPr>
          <w:rFonts w:ascii="Book Antiqua" w:hAnsi="Book Antiqua"/>
          <w:color w:val="000000"/>
        </w:rPr>
        <w:t>En todo caso, los Ayuntamientos de los municipios de gran población a los que se refiere el artículo 121 de la Ley 7/1985, de 2 de abril, Reguladora de las Bases del Régimen Local, y las Diputaciones Provinciales podrán crear un órgano especializado y funcionalmente independiente que ostentará la competencia para resolver los recursos. Su constitución y funcionamiento y los requisitos que deben reunir sus miembros, su nombramiento, remoción y la duración de su mandato se regirá por lo que establezca la legislación autonómica, o, en su defecto, por lo establecido en el artículo 45 de esta Ley. El Pleno de la Corporación será el competente para acordar su creación y nombrar y remover a sus miembros. El resto de los Ayuntamientos podrán atribuir la competencia para resolver el recurso al órgano creado por la Diputación de la provincia a la que pertenezcan.</w:t>
      </w:r>
    </w:p>
    <w:p w14:paraId="52F90973" w14:textId="06E84C29" w:rsidR="008A13A7" w:rsidRPr="00314D55" w:rsidRDefault="008A13A7" w:rsidP="00314D55">
      <w:pPr>
        <w:shd w:val="clear" w:color="auto" w:fill="FFFFFF"/>
        <w:spacing w:before="180" w:after="180"/>
        <w:ind w:firstLine="360"/>
        <w:jc w:val="both"/>
        <w:rPr>
          <w:rFonts w:ascii="Book Antiqua" w:hAnsi="Book Antiqua"/>
          <w:color w:val="000000"/>
        </w:rPr>
      </w:pPr>
    </w:p>
    <w:p w14:paraId="6FFABC06" w14:textId="77777777" w:rsidR="008A13A7" w:rsidRPr="008A13A7" w:rsidRDefault="008A13A7" w:rsidP="00314D55">
      <w:pPr>
        <w:shd w:val="clear" w:color="auto" w:fill="FFFFFF"/>
        <w:spacing w:before="360" w:after="180"/>
        <w:jc w:val="both"/>
        <w:outlineLvl w:val="4"/>
        <w:rPr>
          <w:rFonts w:ascii="Book Antiqua" w:hAnsi="Book Antiqua"/>
          <w:b/>
          <w:bCs/>
          <w:color w:val="000000"/>
        </w:rPr>
      </w:pPr>
      <w:r w:rsidRPr="008A13A7">
        <w:rPr>
          <w:rFonts w:ascii="Book Antiqua" w:hAnsi="Book Antiqua"/>
          <w:b/>
          <w:bCs/>
          <w:color w:val="000000"/>
        </w:rPr>
        <w:t>Artículo 80. Acuerdos o decisiones de clasificación: competencia, eficacia, recurso y clasificaciones divergentes.</w:t>
      </w:r>
    </w:p>
    <w:p w14:paraId="010C3383" w14:textId="77777777" w:rsidR="008A13A7" w:rsidRPr="008A13A7" w:rsidRDefault="008A13A7" w:rsidP="00314D55">
      <w:pPr>
        <w:shd w:val="clear" w:color="auto" w:fill="FFFFFF"/>
        <w:spacing w:before="180" w:after="180"/>
        <w:ind w:firstLine="360"/>
        <w:jc w:val="both"/>
        <w:rPr>
          <w:rFonts w:ascii="Book Antiqua" w:hAnsi="Book Antiqua"/>
          <w:color w:val="000000"/>
        </w:rPr>
      </w:pPr>
      <w:r w:rsidRPr="008A13A7">
        <w:rPr>
          <w:rFonts w:ascii="Book Antiqua" w:hAnsi="Book Antiqua"/>
          <w:color w:val="000000"/>
        </w:rPr>
        <w:t>1. Los acuerdos relativos a la clasificación de las empresas se adoptarán, con eficacia general frente a todos los órganos de contratación, por las Comisiones Clasificadoras de la Junta Consultiva de Contratación Pública del Estado. Estos acuerdos podrán ser objeto de recurso de alzada ante el Ministro de Hacienda y Función Pública.</w:t>
      </w:r>
    </w:p>
    <w:p w14:paraId="4C20C97C" w14:textId="77777777" w:rsidR="008A13A7" w:rsidRPr="008A13A7" w:rsidRDefault="008A13A7" w:rsidP="00314D55">
      <w:pPr>
        <w:shd w:val="clear" w:color="auto" w:fill="FFFFFF"/>
        <w:spacing w:before="180" w:after="180"/>
        <w:ind w:firstLine="360"/>
        <w:jc w:val="both"/>
        <w:rPr>
          <w:rFonts w:ascii="Book Antiqua" w:hAnsi="Book Antiqua"/>
          <w:color w:val="000000"/>
        </w:rPr>
      </w:pPr>
      <w:r w:rsidRPr="008A13A7">
        <w:rPr>
          <w:rFonts w:ascii="Book Antiqua" w:hAnsi="Book Antiqua"/>
          <w:color w:val="000000"/>
        </w:rPr>
        <w:t xml:space="preserve">2. Los órganos competentes de las Comunidades Autónomas podrán adoptar decisiones sobre clasificación de las empresas que serán eficaces, </w:t>
      </w:r>
      <w:r w:rsidRPr="008A13A7">
        <w:rPr>
          <w:rFonts w:ascii="Book Antiqua" w:hAnsi="Book Antiqua"/>
          <w:color w:val="FF0000"/>
        </w:rPr>
        <w:t xml:space="preserve">únicamente, a efectos de contratar con la Comunidad Autónoma que las haya adoptado, con las Entidades locales incluidas en su ámbito territorial, y con los entes, organismos y entidades del sector público dependientes de una y otras. </w:t>
      </w:r>
      <w:r w:rsidRPr="008A13A7">
        <w:rPr>
          <w:rFonts w:ascii="Book Antiqua" w:hAnsi="Book Antiqua"/>
          <w:color w:val="000000"/>
        </w:rPr>
        <w:t>En la adopción de estos acuerdos, deberán respetarse, en todo caso, las reglas y criterios establecidos en esta Ley y en sus disposiciones de desarrollo.</w:t>
      </w:r>
    </w:p>
    <w:p w14:paraId="20DE69ED" w14:textId="77777777" w:rsidR="008A13A7" w:rsidRPr="008A13A7" w:rsidRDefault="008A13A7" w:rsidP="00314D55">
      <w:pPr>
        <w:shd w:val="clear" w:color="auto" w:fill="FFFFFF"/>
        <w:spacing w:before="180" w:after="180"/>
        <w:ind w:firstLine="360"/>
        <w:jc w:val="both"/>
        <w:rPr>
          <w:rFonts w:ascii="Book Antiqua" w:hAnsi="Book Antiqua"/>
          <w:color w:val="000000"/>
        </w:rPr>
      </w:pPr>
      <w:r w:rsidRPr="008A13A7">
        <w:rPr>
          <w:rFonts w:ascii="Book Antiqua" w:hAnsi="Book Antiqua"/>
          <w:color w:val="000000"/>
        </w:rPr>
        <w:t>No obstante, una empresa no podrá disponer simultáneamente de clasificación en un determinado grupo o subgrupo otorgada por las Comisiones Clasificadoras de la Junta Consultiva de Contratación Pública del Estado y por una o más Comunidades Autónomas, o por dos o más Comunidades Autónomas, con distintas categorías de clasificación. A tal efecto, las empresas indicarán en sus solicitudes de clasificación o de revisión de clasificación las clasificaciones que tienen vigentes y que hayan sido otorgadas por otras Administraciones distintas de aquella a la que dirigen su solicitud, no pudiendo otorgarse a la empresa solicitante una categoría superior en subgrupo alguno a aquella de la que ya disponga, otorgada por cualquier otra Administración, en dicho subgrupo.</w:t>
      </w:r>
    </w:p>
    <w:p w14:paraId="0F9259CE" w14:textId="337D4AF8" w:rsidR="008A13A7" w:rsidRPr="00314D55" w:rsidRDefault="008A13A7" w:rsidP="00314D55">
      <w:pPr>
        <w:shd w:val="clear" w:color="auto" w:fill="FFFFFF"/>
        <w:spacing w:before="180" w:after="180"/>
        <w:ind w:firstLine="360"/>
        <w:jc w:val="both"/>
        <w:rPr>
          <w:rFonts w:ascii="Book Antiqua" w:hAnsi="Book Antiqua"/>
          <w:color w:val="000000"/>
        </w:rPr>
      </w:pPr>
      <w:r w:rsidRPr="008A13A7">
        <w:rPr>
          <w:rFonts w:ascii="Book Antiqua" w:hAnsi="Book Antiqua"/>
          <w:color w:val="000000"/>
        </w:rPr>
        <w:t>Reglamentariamente se articularán los mecanismos necesarios para evitar la coexistencia sobrevenida de clasificaciones en vigor contradictorias para una misma empresa en un mismo grupo o subgrupo de clasificación.</w:t>
      </w:r>
    </w:p>
    <w:p w14:paraId="68B1E70E" w14:textId="0BF9F18F" w:rsidR="008A13A7" w:rsidRPr="00314D55" w:rsidRDefault="008A13A7" w:rsidP="00314D55">
      <w:pPr>
        <w:shd w:val="clear" w:color="auto" w:fill="FFFFFF"/>
        <w:spacing w:before="180" w:after="180"/>
        <w:ind w:firstLine="360"/>
        <w:jc w:val="both"/>
        <w:rPr>
          <w:rFonts w:ascii="Book Antiqua" w:hAnsi="Book Antiqua"/>
          <w:color w:val="000000"/>
        </w:rPr>
      </w:pPr>
    </w:p>
    <w:p w14:paraId="62C69609" w14:textId="77777777" w:rsidR="008A13A7" w:rsidRPr="00314D55" w:rsidRDefault="008A13A7"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Artículo 347. Plataforma de Contratación del Sector Público.</w:t>
      </w:r>
    </w:p>
    <w:p w14:paraId="7776CA6F" w14:textId="77777777" w:rsidR="008A13A7" w:rsidRPr="00314D55" w:rsidRDefault="008A13A7"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1. La Dirección General del Patrimonio del Estado del Ministerio de Hacienda y Función Pública pondrá a disposición de todos los órganos de contratación del sector público una plataforma electrónica que permita la difusión a través de Internet de sus perfiles de contratante, así como prestar otros servicios complementarios asociados al tratamiento informático de estos datos.</w:t>
      </w:r>
    </w:p>
    <w:p w14:paraId="2340F385" w14:textId="77777777" w:rsidR="008A13A7" w:rsidRPr="00314D55" w:rsidRDefault="008A13A7"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2. Los perfiles de contratante de los órganos de contratación de todas las entidades del sector público estatal deberán alojarse de manera obligatoria en la Plataforma de Contratación del Sector Público, gestionándose y difundiéndose exclusivamente a través de la misma. En las páginas web institucionales de estos órganos se incluirá un enlace a su perfil de contratante situado en la Plataforma de Contratación del Sector Público.</w:t>
      </w:r>
    </w:p>
    <w:p w14:paraId="0DCAFE13" w14:textId="77777777" w:rsidR="008A13A7" w:rsidRPr="00314D55" w:rsidRDefault="008A13A7"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3. Las Comunidades Autónomas y las Ciudades Autónomas de Ceuta y Melilla podrán establecer servicios de información similares a la Plataforma de Contratación del Sector Público en los que deberán alojar sus perfiles de contratante de manera obligatoria, tanto sus propios órganos de contratación como los de sus entes, organismos y entidades vinculados o dependientes, gestionándose y difundiéndose exclusivamente a través de los mismos y constituyendo estos servicios un punto de acceso único a los perfiles de contratante de los entes, organismos y entidades adscritos a la Comunidad Autónoma correspondiente.</w:t>
      </w:r>
    </w:p>
    <w:p w14:paraId="3F81E0B1" w14:textId="77777777" w:rsidR="008A13A7" w:rsidRPr="00314D55" w:rsidRDefault="008A13A7"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Las Comunidades Autónomas y las Ciudades Autónomas que no hubieran optado por establecer sus propios servicios de información, y alojen, por tanto, sus perfiles del contratante directamente en la Plataforma de Contratación del Sector Público, podrán utilizar todos los servicios que ofrezca la misma, así como participar en su gestión en los términos y condiciones que reglamentariamente se establezcan y de acuerdo con los convenios que a tal efecto se suscriban entre el Ministerio de Hacienda y Función Pública y el órgano de Gobierno de la respectiva Comunidad Autónoma o Ciudad Autónoma.</w:t>
      </w:r>
    </w:p>
    <w:p w14:paraId="7495AC35" w14:textId="77777777" w:rsidR="008A13A7" w:rsidRPr="00314D55" w:rsidRDefault="008A13A7"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En cualquier caso, e independientemente de la opción elegida por las Comunidades Autónomas o las Ciudades Autónomas, de entre las señaladas en los dos primeros párrafos del presente apartado, estas deberán publicar, bien directamente o por interconexión con dispositivos electrónicos de agregación de la información en el caso de que contaran con sus propios servicios de información, la convocatoria de todas las licitaciones y sus resultados en la Plataforma de Contratación del Sector Público.</w:t>
      </w:r>
    </w:p>
    <w:p w14:paraId="2CFC5927" w14:textId="77777777" w:rsidR="008A13A7" w:rsidRPr="00314D55" w:rsidRDefault="008A13A7"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En relación con la publicación a la que se refiere el párrafo anterior, bien se lleve a cabo directamente o bien por interconexión con dispositivos electrónicos de agregación de la información, en caso de una eventual discrepancia entre la información recogida en el servicio de información de la Comunidad Autónoma y la de la Plataforma de Contratación del Sector Público, prevalecerá la primera.</w:t>
      </w:r>
    </w:p>
    <w:p w14:paraId="67F4F639" w14:textId="77777777" w:rsidR="008A13A7" w:rsidRPr="00314D55" w:rsidRDefault="008A13A7"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 xml:space="preserve">Los órganos de contratación de las Administraciones locales, así como los de sus entidades vinculadas o dependientes podrán optar, </w:t>
      </w:r>
      <w:r w:rsidRPr="00314D55">
        <w:rPr>
          <w:rFonts w:ascii="Book Antiqua" w:hAnsi="Book Antiqua"/>
          <w:color w:val="FF0000"/>
        </w:rPr>
        <w:t>de forma excluyente y exclusiva</w:t>
      </w:r>
      <w:r w:rsidRPr="00314D55">
        <w:rPr>
          <w:rFonts w:ascii="Book Antiqua" w:hAnsi="Book Antiqua"/>
          <w:color w:val="000000"/>
        </w:rPr>
        <w:t>, bien por alojar la publicación de sus perfiles de contratante en el servicio de información que a tal efecto estableciera la Comunidad Autónoma de su ámbito territorial, o bien por alojarlos en la Plataforma de Contratación del Sector Público.</w:t>
      </w:r>
    </w:p>
    <w:p w14:paraId="0EB4BCE4" w14:textId="77777777" w:rsidR="008A13A7" w:rsidRPr="008A13A7" w:rsidRDefault="008A13A7" w:rsidP="00314D55">
      <w:pPr>
        <w:shd w:val="clear" w:color="auto" w:fill="FFFFFF"/>
        <w:spacing w:before="180" w:after="180"/>
        <w:ind w:firstLine="360"/>
        <w:jc w:val="both"/>
        <w:rPr>
          <w:rFonts w:ascii="Book Antiqua" w:hAnsi="Book Antiqua"/>
          <w:color w:val="000000"/>
        </w:rPr>
      </w:pPr>
    </w:p>
    <w:p w14:paraId="7C8BE9DB" w14:textId="77777777" w:rsidR="008A13A7" w:rsidRPr="008A13A7" w:rsidRDefault="008A13A7" w:rsidP="00314D55">
      <w:pPr>
        <w:jc w:val="both"/>
        <w:rPr>
          <w:rFonts w:ascii="Book Antiqua" w:hAnsi="Book Antiqua"/>
        </w:rPr>
      </w:pPr>
    </w:p>
    <w:p w14:paraId="18BE8827" w14:textId="093ED5DF" w:rsidR="008A13A7" w:rsidRPr="00314D55" w:rsidRDefault="00A92380" w:rsidP="00314D55">
      <w:pPr>
        <w:pStyle w:val="Prrafodelista"/>
        <w:numPr>
          <w:ilvl w:val="0"/>
          <w:numId w:val="1"/>
        </w:numPr>
        <w:shd w:val="clear" w:color="auto" w:fill="FFFFFF"/>
        <w:spacing w:before="180" w:after="180"/>
        <w:jc w:val="both"/>
        <w:rPr>
          <w:rFonts w:ascii="Book Antiqua" w:eastAsia="Times New Roman" w:hAnsi="Book Antiqua" w:cs="Times New Roman"/>
          <w:b/>
          <w:bCs/>
          <w:color w:val="FF0000"/>
          <w:lang w:eastAsia="es-ES_tradnl"/>
        </w:rPr>
      </w:pPr>
      <w:r w:rsidRPr="00314D55">
        <w:rPr>
          <w:rFonts w:ascii="Book Antiqua" w:eastAsia="Times New Roman" w:hAnsi="Book Antiqua" w:cs="Times New Roman"/>
          <w:b/>
          <w:bCs/>
          <w:color w:val="FF0000"/>
          <w:lang w:eastAsia="es-ES_tradnl"/>
        </w:rPr>
        <w:t xml:space="preserve">PRECEPTOS </w:t>
      </w:r>
      <w:r w:rsidR="005007A9" w:rsidRPr="00314D55">
        <w:rPr>
          <w:rFonts w:ascii="Book Antiqua" w:eastAsia="Times New Roman" w:hAnsi="Book Antiqua" w:cs="Times New Roman"/>
          <w:b/>
          <w:bCs/>
          <w:color w:val="FF0000"/>
          <w:lang w:eastAsia="es-ES_tradnl"/>
        </w:rPr>
        <w:t>NO CONFORMES CON EL ORDEN CONSTITUCIONAL DE COMPETENCIAS</w:t>
      </w:r>
    </w:p>
    <w:p w14:paraId="7A596144" w14:textId="77777777" w:rsidR="005007A9" w:rsidRPr="00314D55" w:rsidRDefault="005007A9"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Artículo 52. Acceso al expediente.</w:t>
      </w:r>
    </w:p>
    <w:p w14:paraId="51F56A75"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1. Si el interesado desea examinar el expediente de contratación de forma previa a la interposición del recurso especial, deberá solicitarlo al órgano de contratación, el cual tendrá la obligación de ponerlo de manifiesto sin perjuicio de los límites de confidencialidad establecidos en la Ley.</w:t>
      </w:r>
    </w:p>
    <w:p w14:paraId="4F01F4FA"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2. Los interesados podrán hacer la solicitud de acceso al expediente dentro del plazo de interposición del recurso especial, debiendo el órgano de contratación facilitar el acceso en los cinco días hábiles siguientes a la recepción de la solicitud. La presentación de esta solicitud no paralizará en ningún caso el plazo para la interposición del recurso especial.</w:t>
      </w:r>
    </w:p>
    <w:p w14:paraId="191FF8EF" w14:textId="641BA24F"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 xml:space="preserve">3. El incumplimiento de las previsiones contenidas en el apartado 1 anterior no eximirá a los interesados de la obligación de interponer el recurso especial dentro del plazo legalmente establecido. Ello no obstante, el citado incumplimiento podrá ser alegado por el recurrente en su recurso, en cuyo caso el órgano competente para resolverlo deberá conceder al recurrente el acceso al expediente de contratación en sus oficinas por plazo de </w:t>
      </w:r>
      <w:r w:rsidRPr="00314D55">
        <w:rPr>
          <w:rFonts w:ascii="Book Antiqua" w:hAnsi="Book Antiqua"/>
          <w:color w:val="FF0000"/>
        </w:rPr>
        <w:t>diez días</w:t>
      </w:r>
      <w:r w:rsidRPr="00314D55">
        <w:rPr>
          <w:rFonts w:ascii="Book Antiqua" w:hAnsi="Book Antiqua"/>
          <w:color w:val="000000"/>
        </w:rPr>
        <w:t xml:space="preserve">, con carácter previo al trámite de alegaciones, para que proceda a completar su recurso. En este supuesto concederá un plazo de </w:t>
      </w:r>
      <w:r w:rsidRPr="00314D55">
        <w:rPr>
          <w:rFonts w:ascii="Book Antiqua" w:hAnsi="Book Antiqua"/>
          <w:color w:val="FF0000"/>
        </w:rPr>
        <w:t xml:space="preserve">dos días hábiles </w:t>
      </w:r>
      <w:r w:rsidRPr="00314D55">
        <w:rPr>
          <w:rFonts w:ascii="Book Antiqua" w:hAnsi="Book Antiqua"/>
          <w:color w:val="000000"/>
        </w:rPr>
        <w:t xml:space="preserve">al órgano de contratación para que emita el informe correspondiente y </w:t>
      </w:r>
      <w:r w:rsidRPr="00314D55">
        <w:rPr>
          <w:rFonts w:ascii="Book Antiqua" w:hAnsi="Book Antiqua"/>
          <w:color w:val="FF0000"/>
        </w:rPr>
        <w:t>cinco días hábiles</w:t>
      </w:r>
      <w:r w:rsidRPr="00314D55">
        <w:rPr>
          <w:rFonts w:ascii="Book Antiqua" w:hAnsi="Book Antiqua"/>
          <w:color w:val="000000"/>
        </w:rPr>
        <w:t xml:space="preserve"> a los restantes interesados para que efectúen las alegaciones que tuvieran por conveniente.</w:t>
      </w:r>
      <w:r w:rsidRPr="00314D55">
        <w:rPr>
          <w:rFonts w:ascii="Book Antiqua" w:hAnsi="Book Antiqua"/>
          <w:b/>
          <w:bCs/>
          <w:color w:val="000000"/>
        </w:rPr>
        <w:t xml:space="preserve"> FJ 6 E) c)</w:t>
      </w:r>
    </w:p>
    <w:p w14:paraId="2527506C" w14:textId="77777777" w:rsidR="005007A9" w:rsidRPr="00314D55" w:rsidRDefault="005007A9"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Artículo 242. Modificación del contrato de obras.</w:t>
      </w:r>
    </w:p>
    <w:p w14:paraId="70450E6F"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1. Serán obligatorias para el contratista las modificaciones del contrato de obras que se acuerden de conformidad con lo establecido en el artículo 206. En caso de que la modificación suponga supresión o reducción de unidades de obra, el contratista no tendrá derecho a reclamar indemnización alguna.</w:t>
      </w:r>
    </w:p>
    <w:p w14:paraId="2447A8F2"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2. Cuando las modificaciones supongan la introducción de unidades de obra no previstas en el proyecto o cuyas características difieran de las fijadas en este, y no sea necesario realizar una nueva licitación, los precios aplicables a las mismas serán fijados por la Administración, previa audiencia del contratista por plazo mínimo de tres días hábiles. Cuando el contratista no aceptase los precios fijados, el órgano de contratación podrá contratarlas con otro empresario en los mismos precios que hubiese fijado, ejecutarlas directamente u optar por la resolución del contrato conforme al artículo 211 de esta Ley.</w:t>
      </w:r>
    </w:p>
    <w:p w14:paraId="6C28FFB0" w14:textId="132E93AF"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 xml:space="preserve">3. Cuando la modificación contemple unidades de obra que hayan de quedar posterior y definitivamente ocultas, antes de efectuar la medición parcial de las mismas, deberá comunicarse a la Intervención de la Administración correspondiente, </w:t>
      </w:r>
      <w:r w:rsidRPr="00314D55">
        <w:rPr>
          <w:rFonts w:ascii="Book Antiqua" w:hAnsi="Book Antiqua"/>
          <w:color w:val="FF0000"/>
        </w:rPr>
        <w:t>con una antelación mínima de cinco días</w:t>
      </w:r>
      <w:r w:rsidRPr="00314D55">
        <w:rPr>
          <w:rFonts w:ascii="Book Antiqua" w:hAnsi="Book Antiqua"/>
          <w:color w:val="000000"/>
        </w:rPr>
        <w:t>,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w:t>
      </w:r>
      <w:r w:rsidRPr="00314D55">
        <w:rPr>
          <w:rFonts w:ascii="Book Antiqua" w:hAnsi="Book Antiqua"/>
          <w:color w:val="000000"/>
        </w:rPr>
        <w:t xml:space="preserve"> </w:t>
      </w:r>
      <w:r w:rsidRPr="00314D55">
        <w:rPr>
          <w:rFonts w:ascii="Book Antiqua" w:hAnsi="Book Antiqua"/>
          <w:b/>
          <w:bCs/>
          <w:color w:val="000000"/>
        </w:rPr>
        <w:t>FJ 7 C) e).</w:t>
      </w:r>
    </w:p>
    <w:p w14:paraId="7F6698EE" w14:textId="77777777" w:rsidR="005007A9" w:rsidRPr="00314D55" w:rsidRDefault="005007A9" w:rsidP="00314D55">
      <w:pPr>
        <w:shd w:val="clear" w:color="auto" w:fill="FFFFFF"/>
        <w:spacing w:before="180" w:after="180"/>
        <w:ind w:firstLine="360"/>
        <w:jc w:val="both"/>
        <w:rPr>
          <w:rFonts w:ascii="Book Antiqua" w:hAnsi="Book Antiqua"/>
          <w:color w:val="000000"/>
        </w:rPr>
      </w:pPr>
    </w:p>
    <w:p w14:paraId="2681805F" w14:textId="04886720" w:rsidR="005007A9" w:rsidRPr="00314D55" w:rsidRDefault="00A92380" w:rsidP="00314D55">
      <w:pPr>
        <w:pStyle w:val="Prrafodelista"/>
        <w:numPr>
          <w:ilvl w:val="0"/>
          <w:numId w:val="1"/>
        </w:numPr>
        <w:shd w:val="clear" w:color="auto" w:fill="FFFFFF"/>
        <w:spacing w:before="180" w:after="180"/>
        <w:jc w:val="both"/>
        <w:rPr>
          <w:rFonts w:ascii="Book Antiqua" w:eastAsia="Times New Roman" w:hAnsi="Book Antiqua" w:cs="Times New Roman"/>
          <w:b/>
          <w:bCs/>
          <w:color w:val="FF0000"/>
          <w:lang w:eastAsia="es-ES_tradnl"/>
        </w:rPr>
      </w:pPr>
      <w:r w:rsidRPr="00314D55">
        <w:rPr>
          <w:rFonts w:ascii="Book Antiqua" w:eastAsia="Times New Roman" w:hAnsi="Book Antiqua" w:cs="Times New Roman"/>
          <w:b/>
          <w:bCs/>
          <w:color w:val="FF0000"/>
          <w:lang w:eastAsia="es-ES_tradnl"/>
        </w:rPr>
        <w:t xml:space="preserve">PRECEPTOS </w:t>
      </w:r>
      <w:r w:rsidR="005007A9" w:rsidRPr="00314D55">
        <w:rPr>
          <w:rFonts w:ascii="Book Antiqua" w:eastAsia="Times New Roman" w:hAnsi="Book Antiqua" w:cs="Times New Roman"/>
          <w:b/>
          <w:bCs/>
          <w:color w:val="FF0000"/>
          <w:lang w:eastAsia="es-ES_tradnl"/>
        </w:rPr>
        <w:t>NO CONFORMES CON EL ORDEN CONSTITUCIONAL DE COMPETENCIAS</w:t>
      </w:r>
      <w:r w:rsidR="005007A9" w:rsidRPr="00314D55">
        <w:rPr>
          <w:rFonts w:ascii="Book Antiqua" w:eastAsia="Times New Roman" w:hAnsi="Book Antiqua" w:cs="Times New Roman"/>
          <w:b/>
          <w:bCs/>
          <w:color w:val="FF0000"/>
          <w:lang w:eastAsia="es-ES_tradnl"/>
        </w:rPr>
        <w:t xml:space="preserve"> CON LAS SALVEDADES DE LOS FUNDAMENTOS JURIDICOS</w:t>
      </w:r>
    </w:p>
    <w:p w14:paraId="6CA7A9A3" w14:textId="77777777" w:rsidR="005007A9" w:rsidRPr="00314D55" w:rsidRDefault="005007A9"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Artículo 72. Apreciación de la prohibición de contratar. Competencia y procedimiento.</w:t>
      </w:r>
    </w:p>
    <w:p w14:paraId="7723BC76"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1. Las prohibiciones de contratar relativas a las circunstancias contenidas en las letras c), d), f), g) y h) del apartado 1 del artículo anterior, se apreciarán directamente por los órganos de contratación, subsistiendo mientras concurran las circunstancias que en cada caso las determinan.</w:t>
      </w:r>
    </w:p>
    <w:p w14:paraId="3101EA96"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2. La prohibición de contratar por las causas previstas en las letras a) y b) del apartado 1 del artículo anterior se apreciará directamente por los órganos de contratación, cuando la sentencia o la resolución administrativa se hubiera pronunciado expresamente sobre su alcance y duración, subsistiendo durante el plazo señalado en las mismas.</w:t>
      </w:r>
    </w:p>
    <w:p w14:paraId="31914FBD"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En el caso de que la sentencia o la resolución administrativa no contengan pronunciamiento sobre el alcance o duración de la prohibición de contratar; en los casos de la letra e) del apartado primero del artículo anterior; y en los supuestos contemplados en el apartado segundo, también del artículo anterior, el alcance y duración de la prohibición deberá determinarse mediante procedimiento instruido al efecto, de conformidad con lo dispuesto en este artículo.</w:t>
      </w:r>
    </w:p>
    <w:p w14:paraId="2EACD7EF"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3. La competencia para fijar la duración y alcance de la prohibición de contratar en el caso de las letras a) y b) del apartado 1 del artículo anterior, en los casos en que no figure en la correspondiente sentencia o resolución, y la competencia para la declaración de la prohibición de contratar en el caso de la letra e) del apartado primero del artículo anterior respecto de la obligación de comunicar la información prevista en el artículo 82.4 y en el artículo 343, corresponderá al Ministro de Hacienda y Función Pública previa propuesta de la Junta Consultiva de Contratación Pública del Estado, o a los órganos que resulten competentes en el ámbito de las Comunidades Autónomas en el caso de la letra e) citada.</w:t>
      </w:r>
    </w:p>
    <w:p w14:paraId="37E4B03C"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A efectos de poder dar cumplimiento a lo establecido en el párrafo anterior, el órgano judicial o administrativo del que emane la sentencia o resolución administrativa deberá remitir de oficio testimonio de aquella o copia de esta a la Junta Consultiva de Contratación Pública del Estado, sin perjuicio de que por parte de este órgano, de tener conocimiento de su existencia y no habiendo recibido el citado testimonio de la sentencia o copia de la resolución administrativa, pueda solicitarlos al órgano del que emanaron.</w:t>
      </w:r>
    </w:p>
    <w:p w14:paraId="5B49C16A" w14:textId="77777777"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En los supuestos previstos en la letra e) del apartado 1 del artículo anterior referido a casos en que se hubiera incurrido en falsedad al efectuar la declaración responsable a que se refiere el artículo 140, o al facilitar cualesquiera otros datos relativos a su capacidad y solvencia, y en los supuestos previstos en el apartado segundo del artículo 71, la declaración de la prohibición de contratar corresponderá al órgano de contratación.</w:t>
      </w:r>
    </w:p>
    <w:p w14:paraId="378DF49F" w14:textId="25D52573" w:rsidR="005007A9" w:rsidRPr="00314D55" w:rsidRDefault="005007A9"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FF0000"/>
        </w:rPr>
        <w:t>4. La competencia para la declaración de la prohibición de contratar en los casos en que la entidad contratante no tenga el carácter de Administración Pública corresponderá al titular del departamento, presidente o director del organismo al que esté adscrita o del que dependa la entidad contratante o al que corresponda su tutela o control. Si la entidad contratante estuviera vinculada a más de una Administración, será competente el órgano correspondiente de la que ostente el control o participación mayoritaria</w:t>
      </w:r>
      <w:r w:rsidRPr="00314D55">
        <w:rPr>
          <w:rFonts w:ascii="Book Antiqua" w:hAnsi="Book Antiqua"/>
          <w:color w:val="000000"/>
        </w:rPr>
        <w:t>.</w:t>
      </w:r>
      <w:r w:rsidR="0003566E" w:rsidRPr="00314D55">
        <w:rPr>
          <w:rFonts w:ascii="Book Antiqua" w:hAnsi="Book Antiqua"/>
          <w:color w:val="000000"/>
        </w:rPr>
        <w:t xml:space="preserve"> </w:t>
      </w:r>
      <w:r w:rsidR="0003566E" w:rsidRPr="00314D55">
        <w:rPr>
          <w:rFonts w:ascii="Book Antiqua" w:hAnsi="Book Antiqua"/>
          <w:b/>
          <w:bCs/>
          <w:color w:val="000000"/>
        </w:rPr>
        <w:t>FJ 6 G) c)</w:t>
      </w:r>
    </w:p>
    <w:p w14:paraId="230160B9" w14:textId="7D0A6259" w:rsidR="008A13A7" w:rsidRPr="00314D55" w:rsidRDefault="008A13A7" w:rsidP="00314D55">
      <w:pPr>
        <w:shd w:val="clear" w:color="auto" w:fill="FFFFFF"/>
        <w:spacing w:before="180" w:after="180"/>
        <w:ind w:firstLine="360"/>
        <w:jc w:val="both"/>
        <w:rPr>
          <w:rFonts w:ascii="Book Antiqua" w:hAnsi="Book Antiqua"/>
          <w:color w:val="000000"/>
        </w:rPr>
      </w:pPr>
    </w:p>
    <w:p w14:paraId="13762E64" w14:textId="77777777" w:rsidR="0003566E" w:rsidRPr="00314D55" w:rsidRDefault="0003566E"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Artículo 122. Pliegos de cláusulas administrativas particulares.</w:t>
      </w:r>
    </w:p>
    <w:p w14:paraId="37DE65F4"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1. Los pliegos de cláusulas administrativas particulares deberán aprobarse previamente a la autorización del gasto o conjuntamente con ella, y siempre antes de la licitación del contrato, o de no existir esta, antes de su adjudicación, y solo podrán ser modificados con posterioridad por error material, de hecho o aritmético. En otro caso, la modificación del pliego conllevará la retroacción de actuaciones.</w:t>
      </w:r>
    </w:p>
    <w:p w14:paraId="69FA213F"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 xml:space="preserve">2. En los pliegos de cláusulas administrativas particulares se incluirán los criterios de solvencia y adjudicación del contrato; las consideraciones sociales, laborales y ambientales que como criterios de solvencia, de adjudicación o como condiciones especiales de ejecución se establezcan; </w:t>
      </w:r>
      <w:r w:rsidRPr="00314D55">
        <w:rPr>
          <w:rFonts w:ascii="Book Antiqua" w:hAnsi="Book Antiqua"/>
          <w:color w:val="000000" w:themeColor="text1"/>
        </w:rPr>
        <w:t>los pactos y condiciones definidores de los derechos y obligaciones de las partes del contrato</w:t>
      </w:r>
      <w:r w:rsidRPr="00314D55">
        <w:rPr>
          <w:rFonts w:ascii="Book Antiqua" w:hAnsi="Book Antiqua"/>
          <w:color w:val="FF0000"/>
        </w:rPr>
        <w:t xml:space="preserve">; la previsión de cesión del contrato salvo en los casos en que la misma no sea posible de acuerdo con lo establecido en el segundo párrafo del artículo 214.1; la obligación del adjudicatario de cumplir las condiciones salariales de los trabajadores conforme al Convenio Colectivo sectorial de aplicación; y las demás menciones requeridas por esta Ley y sus normas de desarrollo. </w:t>
      </w:r>
      <w:r w:rsidRPr="00314D55">
        <w:rPr>
          <w:rFonts w:ascii="Book Antiqua" w:hAnsi="Book Antiqua"/>
          <w:color w:val="000000" w:themeColor="text1"/>
        </w:rPr>
        <w:t>En el caso de contratos mixtos, se detallará el régimen jurídico aplicable a sus efectos, cumplimiento y extinción, atendiendo a las normas aplicables a las diferentes prestaciones fusionadas en ellos</w:t>
      </w:r>
      <w:r w:rsidRPr="00314D55">
        <w:rPr>
          <w:rFonts w:ascii="Book Antiqua" w:hAnsi="Book Antiqua"/>
          <w:color w:val="FF0000"/>
        </w:rPr>
        <w:t>.</w:t>
      </w:r>
    </w:p>
    <w:p w14:paraId="3BDA6566"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Los pliegos podrán también especificar si va a exigirse la transferencia de derechos de propiedad intelectual o industrial, sin perjuicio de lo establecido en el artículo 308 respecto de los contratos de servicios.</w:t>
      </w:r>
    </w:p>
    <w:p w14:paraId="4470C907"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Los pliegos deberán mencionar expresamente la obligación del futuro contratista de respetar la normativa vigente en materia de protección de datos.</w:t>
      </w:r>
    </w:p>
    <w:p w14:paraId="35DCFC9E"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Sin perjuicio de lo establecido en el artículo 28.2 del Reglamento (UE) 2016/679 del Parlamento Europeo y del Consejo, de 27 de abril de 2016, relativo a la protección de las personas físicas en lo que respecta al tratamiento de datos personales y la libre circulación de estos datos y por el que se deroga la Directiva 95/46/CE, en aquellos contratos cuya ejecución requiera el tratamiento por el contratista de datos personales por cuenta del responsable del tratamiento, adicionalmente en el pliego se hará constar:</w:t>
      </w:r>
    </w:p>
    <w:p w14:paraId="79D40286" w14:textId="77777777" w:rsidR="0003566E" w:rsidRPr="00314D55" w:rsidRDefault="0003566E" w:rsidP="00314D55">
      <w:pPr>
        <w:pStyle w:val="parrafo2"/>
        <w:shd w:val="clear" w:color="auto" w:fill="FFFFFF"/>
        <w:spacing w:before="360" w:beforeAutospacing="0" w:after="180" w:afterAutospacing="0"/>
        <w:ind w:firstLine="360"/>
        <w:jc w:val="both"/>
        <w:rPr>
          <w:rFonts w:ascii="Book Antiqua" w:hAnsi="Book Antiqua"/>
          <w:color w:val="FF0000"/>
        </w:rPr>
      </w:pPr>
      <w:r w:rsidRPr="00314D55">
        <w:rPr>
          <w:rFonts w:ascii="Book Antiqua" w:hAnsi="Book Antiqua"/>
          <w:color w:val="FF0000"/>
        </w:rPr>
        <w:t>a) La finalidad para la cual se cederán dichos datos.</w:t>
      </w:r>
    </w:p>
    <w:p w14:paraId="5571D9AC"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b) La obligación del futuro contratista de someterse en todo caso a la normativa nacional y de la Unión Europea en materia de protección de datos, sin perjuicio de lo establecido en el último párrafo del apartado 1 del artículo 202.</w:t>
      </w:r>
    </w:p>
    <w:p w14:paraId="0BB8733B"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c) La obligación de la empresa adjudicataria de presentar antes de la formalización del contrato una declaración en la que ponga de manifiesto dónde van a estar ubicados los servidores y desde dónde se van a prestar los servicios asociados a los mismos.</w:t>
      </w:r>
    </w:p>
    <w:p w14:paraId="3E294672"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d) La obligación de comunicar cualquier cambio que se produzca, a lo largo de la vida del contrato, de la información facilitada en la declaración a que se refiere la letra c) anterior.</w:t>
      </w:r>
    </w:p>
    <w:p w14:paraId="50805D1A"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e) La obligación de los licitadores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6780988B" w14:textId="12A7ADF0"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b/>
          <w:bCs/>
          <w:color w:val="000000" w:themeColor="text1"/>
        </w:rPr>
      </w:pPr>
      <w:r w:rsidRPr="00314D55">
        <w:rPr>
          <w:rFonts w:ascii="Book Antiqua" w:hAnsi="Book Antiqua"/>
          <w:color w:val="FF0000"/>
        </w:rPr>
        <w:t>En los pliegos correspondientes a los contratos a que se refiere el párrafo anterior las obligaciones recogidas en las letras a) a e) anteriores en todo caso deberán ser calificadas como esenciales a los efectos de lo previsto en la letra f) del apartado 1 del artículo 211.</w:t>
      </w:r>
      <w:r w:rsidRPr="00314D55">
        <w:rPr>
          <w:rFonts w:ascii="Book Antiqua" w:hAnsi="Book Antiqua"/>
          <w:color w:val="FF0000"/>
        </w:rPr>
        <w:t xml:space="preserve"> </w:t>
      </w:r>
      <w:r w:rsidRPr="00314D55">
        <w:rPr>
          <w:rFonts w:ascii="Book Antiqua" w:hAnsi="Book Antiqua"/>
          <w:b/>
          <w:bCs/>
          <w:color w:val="000000" w:themeColor="text1"/>
        </w:rPr>
        <w:t>F J 7 A) d)</w:t>
      </w:r>
    </w:p>
    <w:p w14:paraId="126BEBAB" w14:textId="77777777" w:rsidR="0003566E" w:rsidRPr="008A13A7" w:rsidRDefault="0003566E" w:rsidP="00314D55">
      <w:pPr>
        <w:shd w:val="clear" w:color="auto" w:fill="FFFFFF"/>
        <w:spacing w:before="180" w:after="180"/>
        <w:ind w:firstLine="360"/>
        <w:jc w:val="both"/>
        <w:rPr>
          <w:rFonts w:ascii="Book Antiqua" w:hAnsi="Book Antiqua"/>
          <w:color w:val="000000"/>
        </w:rPr>
      </w:pPr>
    </w:p>
    <w:p w14:paraId="62DB83D5" w14:textId="77777777" w:rsidR="0003566E" w:rsidRPr="00314D55" w:rsidRDefault="0003566E"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Artículo 125. Definición de determinadas prescripciones técnicas.</w:t>
      </w:r>
    </w:p>
    <w:p w14:paraId="1A5D7087"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A efectos de la presente Ley se entenderá por:</w:t>
      </w:r>
    </w:p>
    <w:p w14:paraId="0DB29EF9" w14:textId="77777777" w:rsidR="0003566E" w:rsidRPr="00314D55" w:rsidRDefault="0003566E" w:rsidP="00314D55">
      <w:pPr>
        <w:pStyle w:val="parrafo2"/>
        <w:shd w:val="clear" w:color="auto" w:fill="FFFFFF"/>
        <w:spacing w:before="360" w:beforeAutospacing="0" w:after="180" w:afterAutospacing="0"/>
        <w:ind w:firstLine="360"/>
        <w:jc w:val="both"/>
        <w:rPr>
          <w:rFonts w:ascii="Book Antiqua" w:hAnsi="Book Antiqua"/>
          <w:color w:val="FF0000"/>
        </w:rPr>
      </w:pPr>
      <w:r w:rsidRPr="00314D55">
        <w:rPr>
          <w:rFonts w:ascii="Book Antiqua" w:hAnsi="Book Antiqua"/>
          <w:color w:val="FF0000"/>
        </w:rPr>
        <w:t>1. «Prescripción o especificación técnica»:</w:t>
      </w:r>
    </w:p>
    <w:p w14:paraId="18896537" w14:textId="77777777" w:rsidR="0003566E" w:rsidRPr="00314D55" w:rsidRDefault="0003566E" w:rsidP="00314D55">
      <w:pPr>
        <w:pStyle w:val="parrafo2"/>
        <w:shd w:val="clear" w:color="auto" w:fill="FFFFFF"/>
        <w:spacing w:before="360" w:beforeAutospacing="0" w:after="180" w:afterAutospacing="0"/>
        <w:ind w:firstLine="360"/>
        <w:jc w:val="both"/>
        <w:rPr>
          <w:rFonts w:ascii="Book Antiqua" w:hAnsi="Book Antiqua"/>
          <w:color w:val="FF0000"/>
        </w:rPr>
      </w:pPr>
      <w:r w:rsidRPr="00314D55">
        <w:rPr>
          <w:rFonts w:ascii="Book Antiqua" w:hAnsi="Book Antiqua"/>
          <w:color w:val="FF0000"/>
        </w:rPr>
        <w:t>a) Cuando se trate de contratos de obras, el conjunto de las prescripciones técnicas contenidas principalmente en los pliegos de la contratación, en las que se definan las características requeridas de un material, producto o suministro, y que permitan caracterizarlos de manera que respondan a la utilización a que los destine el poder adjudicador; asimismo, los procedimientos de aseguramiento de la calidad, el impacto social, laboral, ambiental y climático de dichos materiales, productos o actividades que se desarrollen durante la elaboración o utilización de los mismos, el diseño para todas las necesidades (incluida la accesibilidad universal y diseño universal o diseño para todas las personas), la terminología, los símbolos, las pruebas y métodos de prueba, el envasado, marcado y etiquetado, las instrucciones de uso y los procesos y métodos de producción en cualquier fase del ciclo de vida de las obras; incluyen asimismo las reglas de elaboración del proyecto y cálculo de las obras, las condiciones de prueba, control y recepción de las obras, así como las técnicas o métodos de construcción y todas las demás condiciones de carácter técnico que el poder adjudicador pueda prescribir, por vía de reglamentación general o específica, en lo referente a obras acabadas y a los materiales o elementos que las constituyan;</w:t>
      </w:r>
    </w:p>
    <w:p w14:paraId="69FCAFA4" w14:textId="6919F5A3"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b) Cuando se trate de contratos de suministro o de servicios, aquella especificación que figure en un documento en la que se definan las características exigidas de un producto o de un servicio, como, por ejemplo, los niveles de calidad, los niveles de comportamiento ambiental y climático, el diseño para todas las necesidades (incluida la accesibilidad universal y diseño universal o diseño para todas las personas) y la evaluación de la conformidad, el rendimiento, la utilización del producto, su seguridad, o sus dimensiones; asimismo, los requisitos aplicables al producto en lo referente a la denominación de venta, la terminología, los símbolos, las pruebas y métodos de prueba, el envasado, marcado y etiquetado, las instrucciones de uso, los procesos y métodos de producción en cualquier fase del ciclo de vida del suministro o servicio, así como los procedimientos de evaluación de la conformidad.</w:t>
      </w:r>
      <w:r w:rsidRPr="00314D55">
        <w:rPr>
          <w:rFonts w:ascii="Book Antiqua" w:hAnsi="Book Antiqua"/>
          <w:color w:val="FF0000"/>
        </w:rPr>
        <w:t xml:space="preserve"> </w:t>
      </w:r>
      <w:r w:rsidRPr="00314D55">
        <w:rPr>
          <w:rFonts w:ascii="Book Antiqua" w:hAnsi="Book Antiqua"/>
          <w:b/>
          <w:bCs/>
          <w:color w:val="000000" w:themeColor="text1"/>
        </w:rPr>
        <w:t>FJ 7 A) e)</w:t>
      </w:r>
    </w:p>
    <w:p w14:paraId="04361B17" w14:textId="77777777" w:rsidR="0003566E" w:rsidRPr="00314D55" w:rsidRDefault="0003566E"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Artículo 154. Anuncio de formalización de los contratos.</w:t>
      </w:r>
    </w:p>
    <w:p w14:paraId="2AB9FECC"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1. La formalización de los contratos deberá publicarse, junto con el correspondiente contrato, en un plazo no superior a quince días tras el perfeccionamiento del contrato en el perfil de contratante del órgano de contratación. Cuando el contrato esté sujeto a regulación armonizada, el anuncio de formalización deberá publicarse, además, en el «Diario Oficial de la Unión Europea».</w:t>
      </w:r>
    </w:p>
    <w:p w14:paraId="3C70AFDA"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2. En los contratos celebrados por la Administración General del Estado, o por las entidades vinculadas a la misma que gocen de la naturaleza de Administraciones Públicas el anuncio de formalización se publicará además, en el plazo señalado en el apartado anterior, en el «Boletín Oficial del Estado».</w:t>
      </w:r>
    </w:p>
    <w:p w14:paraId="4A170C92"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3. El órgano de contratación, cuando proceda, enviará el anuncio de formalización al «Diario Oficial de la Unión Europea» a más tardar 10 días después de la formalización del contrato.</w:t>
      </w:r>
    </w:p>
    <w:p w14:paraId="714A16BA"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Los anuncios de formalización no se publicarán en los lugares indicados en los apartados primero y segundo del presente artículo antes de su publicación en el «Diario Oficial de la Unión Europea», en el caso en que deban ser publicados en dicho Diario Oficial, debiendo indicar la fecha de aquel envío, de la que los servicios dependientes del órgano de contratación dejarán prueba suficiente en el expediente, y no podrán contener indicaciones distintas a las incluidas en dicho anuncio. No obstante, en todo caso podrán publicarse si el órgano de contratación no ha recibido notificación de su publicación a las 48 horas de la confirmación de la recepción del anuncio enviado.</w:t>
      </w:r>
    </w:p>
    <w:p w14:paraId="4256C7AB"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4. La adjudicación de los contratos basados en un acuerdo marco o de los contratos específicos en el marco de un sistema dinámico de adquisición, ya perfeccionados en virtud de lo establecido en el artículo 36.3, se publicará trimestralmente por el órgano de contratación dentro de los 30 días siguientes al fin de cada trimestre, en la forma prevista en el presente artículo.</w:t>
      </w:r>
    </w:p>
    <w:p w14:paraId="1636CCC1"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5. Los contratos menores serán objeto de publicación en las condiciones establecidas en el apartado 4 del artículo 63.</w:t>
      </w:r>
    </w:p>
    <w:p w14:paraId="4F59D597"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6. Los anuncios de formalización de contratos contendrán la información recogida en el anexo III.</w:t>
      </w:r>
    </w:p>
    <w:p w14:paraId="4463D4A7"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7. Podrán no publicarse determinados datos relativos a la celebración del contrato cuando se considere, justificándose debidamente en el expediente, que la divulgación de esa información puede obstaculizar la aplicación de una norma, resultar contraria al interés público o perjudicar intereses comerciales legítimos de empresas públicas o privadas o la competencia leal entre ellas, o cuando se trate de contratos declarados secretos o reservados o cuya ejecución deba ir acompañada de medidas de seguridad especiales conforme a la legislación vigente, o cuando lo exija la protección de los intereses esenciales de la seguridad del Estado y así se haya declarado de conformidad con lo previsto en la letra c) del apartado 2 del artículo 19.</w:t>
      </w:r>
    </w:p>
    <w:p w14:paraId="44E1D97E"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En todo caso, previa la decisión de no publicar unos determinados datos relativos a la celebración del contrato, los órganos de contratación deberán solicitar la emisión de informe por el Consejo de Transparencia y Buen Gobierno a que se refiere la Ley 19/2013, de 9 de diciembre, de transparencia, acceso a la información pública y buen gobierno, en el que se aprecie si el derecho de acceso a la información pública prevalece o no frente a los bienes que se pretenden salvaguardar con su no publicación, que será evacuado en un plazo máximo de diez días.</w:t>
      </w:r>
    </w:p>
    <w:p w14:paraId="276193E9" w14:textId="78FB548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FF0000"/>
        </w:rPr>
        <w:t>No obstante lo anterior, no se requerirá dicho informe por el Consejo de Transparencia y Buen Gobierno en caso de que con anterioridad se hubiese efectuado por el órgano de contratación consulta sobre una materia idéntica o análoga, sin perjuicio de la justificación debida de su exclusión en el expediente en los términos establecidos en este apartado</w:t>
      </w:r>
      <w:r w:rsidRPr="00314D55">
        <w:rPr>
          <w:rFonts w:ascii="Book Antiqua" w:hAnsi="Book Antiqua"/>
          <w:color w:val="000000"/>
        </w:rPr>
        <w:t>.</w:t>
      </w:r>
      <w:r w:rsidRPr="00314D55">
        <w:rPr>
          <w:rFonts w:ascii="Book Antiqua" w:hAnsi="Book Antiqua"/>
          <w:color w:val="000000"/>
        </w:rPr>
        <w:t xml:space="preserve"> </w:t>
      </w:r>
      <w:r w:rsidRPr="00314D55">
        <w:rPr>
          <w:rFonts w:ascii="Book Antiqua" w:hAnsi="Book Antiqua"/>
          <w:b/>
          <w:bCs/>
          <w:color w:val="000000"/>
        </w:rPr>
        <w:t>FJ 7 B) e)</w:t>
      </w:r>
    </w:p>
    <w:p w14:paraId="3E130687" w14:textId="77777777" w:rsidR="0003566E" w:rsidRPr="00314D55" w:rsidRDefault="0003566E"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Artículo 185. Participantes.</w:t>
      </w:r>
    </w:p>
    <w:p w14:paraId="7AEE4461"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1. El órgano de contratación podrá limitar el número de participantes en el concurso de proyectos. Cuando este fuera el caso, el concurso constará de dos fases: en la primera el órgano de contratación seleccionará a los participantes de entre los candidatos que hubieren presentado solicitud de participación, mediante la aplicación de los criterios a que se refiere el apartado siguiente; y en la segunda el órgano de contratación invitará simultáneamente y por escrito a los candidatos seleccionados para que presenten sus propuestas de proyectos ante el órgano de contratación en el plazo que proceda conforme a lo señalado en el artículo 136.</w:t>
      </w:r>
    </w:p>
    <w:p w14:paraId="21C22730"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2. En caso de que se decida limitar el número de participantes, la selección de estos deberá efectuarse aplicando criterios objetivos, claros y no discriminatorios, que deberán figurar en las bases del concurso y en el anuncio de licitación, sin que el acceso a la participación pueda limitarse a un determinado ámbito territorial, o a personas físicas con exclusión de las jurídicas o a la inversa. En cualquier caso, al fijar el número de candidatos invitados a participar, deberá tenerse en cuenta la necesidad de garantizar una competencia real.</w:t>
      </w:r>
    </w:p>
    <w:p w14:paraId="30663049"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000000"/>
        </w:rPr>
        <w:t xml:space="preserve">3. </w:t>
      </w:r>
      <w:r w:rsidRPr="00314D55">
        <w:rPr>
          <w:rFonts w:ascii="Book Antiqua" w:hAnsi="Book Antiqua"/>
          <w:color w:val="FF0000"/>
        </w:rPr>
        <w:t>La segunda fase a que se refiere el apartado 1 de este artículo podrá realizarse en dos sub-fases sucesivas, a fin de reducir el número de concursantes.</w:t>
      </w:r>
    </w:p>
    <w:p w14:paraId="5B571DCF"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En la primera sub-fase se invitará simultáneamente y por escrito a los candidatos seleccionados para que presenten una idea concisa acerca del objeto del concurso ante el órgano de contratación en el plazo que proceda de conformidad con lo dispuesto en el artículo 136, debiendo estas ser valoradas por el Jurado con arreglo a los criterios de adjudicación previamente establecidos de acuerdo con lo indicado en el apartado anterior.</w:t>
      </w:r>
    </w:p>
    <w:p w14:paraId="381F7E5E"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En una segunda sub-fase los participantes seleccionados serán invitados, también simultáneamente y por escrito, para que presenten sus propuestas de proyectos en desarrollo de la idea inicial en el plazo que proceda de acuerdo con lo indicado en el artículo 136, debiendo ser valorados por el Jurado de conformidad con los criterios de adjudicación que se hubieren establecido previamente.</w:t>
      </w:r>
    </w:p>
    <w:p w14:paraId="2B3FB2C4"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En cualquier caso el número de candidatos invitados deberá ser suficiente para garantizar una competencia real. El número mínimo de candidatos será de tres.</w:t>
      </w:r>
    </w:p>
    <w:p w14:paraId="45B9E225" w14:textId="77777777"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En todo caso los participantes en el concurso de proyectos cuyas ideas hubieran resultado seleccionadas y, por lo tanto, hubieren superado la primera sub-fase, tendrán derecho a percibir la compensación económica por los gastos en que hubieran incurrido, a que se refiere el apartado 2 del artículo anterior.</w:t>
      </w:r>
    </w:p>
    <w:p w14:paraId="07257039" w14:textId="47D3C075" w:rsidR="0003566E" w:rsidRPr="00314D55" w:rsidRDefault="0003566E"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FF0000"/>
        </w:rPr>
        <w:t>En los pliegos, el órgano de contratación indicará si va a hacer uso de esta opción</w:t>
      </w:r>
      <w:r w:rsidRPr="00314D55">
        <w:rPr>
          <w:rFonts w:ascii="Book Antiqua" w:hAnsi="Book Antiqua"/>
          <w:color w:val="000000"/>
        </w:rPr>
        <w:t>.</w:t>
      </w:r>
      <w:r w:rsidRPr="00314D55">
        <w:rPr>
          <w:rFonts w:ascii="Book Antiqua" w:hAnsi="Book Antiqua"/>
          <w:color w:val="000000"/>
        </w:rPr>
        <w:t xml:space="preserve"> </w:t>
      </w:r>
      <w:r w:rsidRPr="00314D55">
        <w:rPr>
          <w:rFonts w:ascii="Book Antiqua" w:hAnsi="Book Antiqua"/>
          <w:b/>
          <w:bCs/>
          <w:color w:val="000000"/>
        </w:rPr>
        <w:t>F J 7 B) i)</w:t>
      </w:r>
    </w:p>
    <w:p w14:paraId="1B819AD4" w14:textId="77777777" w:rsidR="00A92380" w:rsidRPr="00A92380" w:rsidRDefault="00A92380" w:rsidP="00314D55">
      <w:pPr>
        <w:shd w:val="clear" w:color="auto" w:fill="FFFFFF"/>
        <w:spacing w:before="360" w:after="180"/>
        <w:jc w:val="both"/>
        <w:outlineLvl w:val="4"/>
        <w:rPr>
          <w:rFonts w:ascii="Book Antiqua" w:hAnsi="Book Antiqua"/>
          <w:b/>
          <w:bCs/>
          <w:color w:val="000000"/>
        </w:rPr>
      </w:pPr>
      <w:r w:rsidRPr="00A92380">
        <w:rPr>
          <w:rFonts w:ascii="Book Antiqua" w:hAnsi="Book Antiqua"/>
          <w:b/>
          <w:bCs/>
          <w:color w:val="000000"/>
        </w:rPr>
        <w:t>Artículo 212. Aplicación de las causas de resolución.</w:t>
      </w:r>
    </w:p>
    <w:p w14:paraId="561D738F"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1. La resolución del contrato se acordará por el órgano de contratación, de oficio o a instancia del contratista, en su caso, siguiendo el procedimiento que en las normas de desarrollo de esta Ley se establezca.</w:t>
      </w:r>
    </w:p>
    <w:p w14:paraId="42E705CC"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No obstante lo anterior, la resolución del contrato por la causa a que se refiere la letra i) del artículo 211.1 solo se acordará, con carácter general, a instancia de los representantes de los trabajadores en la empresa contratista; excepto cuando los trabajadores afectados por el impago de salarios sean trabajadores en los que procediera la subrogación de conformidad con el artículo 130 y el importe de los salarios adeudados por la empresa contratista supere el 5 por ciento del precio de adjudicación del contrato, en cuyo caso la resolución podrá ser acordada directamente por el órgano de contratación de oficio.</w:t>
      </w:r>
    </w:p>
    <w:p w14:paraId="33D63C93"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2. La declaración de insolvencia en cualquier procedimiento y las modificaciones del contrato en los casos en que no se den las circunstancias establecidas en los artículos 204 y 205, darán siempre lugar a la resolución del contrato.</w:t>
      </w:r>
    </w:p>
    <w:p w14:paraId="3CDEA899"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Serán potestativas para la Administración y para el contratista las restantes modificaciones no previstas en el contrato cuando impliquen, aislada o conjuntamente, una alteración en cuantía que exceda del 20 por ciento del precio inicial del contrato, IVA excluido.</w:t>
      </w:r>
    </w:p>
    <w:p w14:paraId="44F6BD37"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En los restantes casos, la resolución podrá instarse por aquella parte a la que no le sea imputable la circunstancia que diera lugar a la misma.</w:t>
      </w:r>
    </w:p>
    <w:p w14:paraId="48C5B355"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3. Cuando la causa de resolución sea la muerte o incapacidad sobrevenida del contratista individual la Administración podrá acordar la continuación del contrato con sus herederos o sucesores.</w:t>
      </w:r>
    </w:p>
    <w:p w14:paraId="637DA13D"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4. La resolución por mutuo acuerdo solo podrá tener lugar cuando no concurra otra causa de resolución que sea imputable al contratista, y siempre que razones de interés público hagan innecesaria o inconveniente la permanencia del contrato.</w:t>
      </w:r>
    </w:p>
    <w:p w14:paraId="659F876F"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5. En caso de declaración en concurso la Administración potestativamente continuará el contrato si razones de interés público así lo aconsejan, siempre y cuando el contratista prestare las garantías adicionales suficientes para su ejecución.</w:t>
      </w:r>
    </w:p>
    <w:p w14:paraId="341BAB34"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En todo caso se entenderá que son garantías suficientes:</w:t>
      </w:r>
    </w:p>
    <w:p w14:paraId="2483C9BA" w14:textId="77777777" w:rsidR="00A92380" w:rsidRPr="00A92380" w:rsidRDefault="00A92380" w:rsidP="00314D55">
      <w:pPr>
        <w:shd w:val="clear" w:color="auto" w:fill="FFFFFF"/>
        <w:spacing w:before="360" w:after="180"/>
        <w:ind w:firstLine="360"/>
        <w:jc w:val="both"/>
        <w:rPr>
          <w:rFonts w:ascii="Book Antiqua" w:hAnsi="Book Antiqua"/>
          <w:color w:val="000000"/>
        </w:rPr>
      </w:pPr>
      <w:r w:rsidRPr="00A92380">
        <w:rPr>
          <w:rFonts w:ascii="Book Antiqua" w:hAnsi="Book Antiqua"/>
          <w:color w:val="000000"/>
        </w:rPr>
        <w:t>a) Una garantía complementaria de al menos un 5 por 100 del precio del contrato, que deberá prestarse en cualquiera de las formas contempladas en el artículo 108.</w:t>
      </w:r>
    </w:p>
    <w:p w14:paraId="6EDEA442"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b) El depósito de una cantidad en concepto de fianza, que se realizará de conformidad con lo establecido en el artículo 108.1, letra a), y que quedará constituida como cláusula penal para el caso de incumplimiento por parte del contratista.</w:t>
      </w:r>
    </w:p>
    <w:p w14:paraId="6E5060F3" w14:textId="77777777" w:rsidR="00A92380" w:rsidRPr="00A92380" w:rsidRDefault="00A92380" w:rsidP="00314D55">
      <w:pPr>
        <w:shd w:val="clear" w:color="auto" w:fill="FFFFFF"/>
        <w:spacing w:before="360" w:after="180"/>
        <w:ind w:firstLine="360"/>
        <w:jc w:val="both"/>
        <w:rPr>
          <w:rFonts w:ascii="Book Antiqua" w:hAnsi="Book Antiqua"/>
          <w:color w:val="000000"/>
        </w:rPr>
      </w:pPr>
      <w:r w:rsidRPr="00A92380">
        <w:rPr>
          <w:rFonts w:ascii="Book Antiqua" w:hAnsi="Book Antiqua"/>
          <w:color w:val="000000"/>
        </w:rPr>
        <w:t>6. En el supuesto de demora a que se refiere la letra d) del apartado primero del artículo anterior, si las penalidades a que diere lugar la demora en el cumplimiento del plazo alcanzasen un múltiplo del 5 por ciento del precio del contrato, IVA excluido, se estará a lo dispuesto en el apartado 4 del artículo 193.</w:t>
      </w:r>
    </w:p>
    <w:p w14:paraId="1CA4368D" w14:textId="77777777" w:rsidR="00A92380" w:rsidRPr="00A92380" w:rsidRDefault="00A92380" w:rsidP="00314D55">
      <w:pPr>
        <w:shd w:val="clear" w:color="auto" w:fill="FFFFFF"/>
        <w:spacing w:before="180" w:after="180"/>
        <w:ind w:firstLine="360"/>
        <w:jc w:val="both"/>
        <w:rPr>
          <w:rFonts w:ascii="Book Antiqua" w:hAnsi="Book Antiqua"/>
          <w:color w:val="000000"/>
        </w:rPr>
      </w:pPr>
      <w:r w:rsidRPr="00A92380">
        <w:rPr>
          <w:rFonts w:ascii="Book Antiqua" w:hAnsi="Book Antiqua"/>
          <w:color w:val="000000"/>
        </w:rPr>
        <w:t>7. El incumplimiento de las obligaciones derivadas del contrato por parte de la Administración originará la resolución de aquel solo en los casos previstos en esta Ley.</w:t>
      </w:r>
    </w:p>
    <w:p w14:paraId="62CD84D4" w14:textId="6879A0D4" w:rsidR="00A92380" w:rsidRPr="00A92380" w:rsidRDefault="00A92380" w:rsidP="00314D55">
      <w:pPr>
        <w:shd w:val="clear" w:color="auto" w:fill="FFFFFF"/>
        <w:spacing w:before="180" w:after="180"/>
        <w:ind w:firstLine="360"/>
        <w:jc w:val="both"/>
        <w:rPr>
          <w:rFonts w:ascii="Book Antiqua" w:hAnsi="Book Antiqua"/>
          <w:color w:val="FF0000"/>
        </w:rPr>
      </w:pPr>
      <w:r w:rsidRPr="00A92380">
        <w:rPr>
          <w:rFonts w:ascii="Book Antiqua" w:hAnsi="Book Antiqua"/>
          <w:color w:val="FF0000"/>
        </w:rPr>
        <w:t>8. Los expedientes de resolución contractual deberán ser instruidos y resueltos en el plazo máximo de ocho meses.</w:t>
      </w:r>
      <w:r w:rsidRPr="00314D55">
        <w:rPr>
          <w:rFonts w:ascii="Book Antiqua" w:hAnsi="Book Antiqua"/>
          <w:color w:val="FF0000"/>
        </w:rPr>
        <w:t xml:space="preserve"> </w:t>
      </w:r>
      <w:r w:rsidRPr="00314D55">
        <w:rPr>
          <w:rFonts w:ascii="Book Antiqua" w:hAnsi="Book Antiqua"/>
          <w:b/>
          <w:bCs/>
          <w:color w:val="000000" w:themeColor="text1"/>
        </w:rPr>
        <w:t>F J 7 C) c)</w:t>
      </w:r>
    </w:p>
    <w:p w14:paraId="3329798E" w14:textId="77777777" w:rsidR="00A92380" w:rsidRPr="00314D55" w:rsidRDefault="00A92380"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Disposición final sexta. Habilitación normativa en materia de uso de medios electrónicos, informáticos o telemáticos, y uso de factura electrónica.</w:t>
      </w:r>
    </w:p>
    <w:p w14:paraId="5928FDC6" w14:textId="77777777" w:rsidR="00A92380" w:rsidRPr="00314D55" w:rsidRDefault="00A92380"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1. Se autoriza al Ministro de Hacienda y Función Pública para aprobar, previo dictamen del Consejo de Estado, las normas de desarrollo de la disposición adicional decimosexta que puedan ser necesarias para hacer plenamente efectivo el uso de medios electrónicos, informáticos o telemáticos en los procedimientos regulados en esta Ley.</w:t>
      </w:r>
    </w:p>
    <w:p w14:paraId="149C6FD2" w14:textId="49819186" w:rsidR="00A92380" w:rsidRPr="00314D55" w:rsidRDefault="00A92380"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2. Igualmente, el Ministro de Hacienda y Función Pública, mediante Orden, definirá las especificaciones técnicas de las comunicaciones de datos que deban efectuarse en cumplimiento de la presente Ley y establecerá los modelos que deban utilizarse.</w:t>
      </w:r>
      <w:r w:rsidRPr="00314D55">
        <w:rPr>
          <w:rFonts w:ascii="Book Antiqua" w:hAnsi="Book Antiqua"/>
          <w:color w:val="FF0000"/>
        </w:rPr>
        <w:t xml:space="preserve"> </w:t>
      </w:r>
      <w:r w:rsidRPr="00314D55">
        <w:rPr>
          <w:rFonts w:ascii="Book Antiqua" w:hAnsi="Book Antiqua"/>
          <w:b/>
          <w:bCs/>
          <w:color w:val="000000" w:themeColor="text1"/>
        </w:rPr>
        <w:t>FJ 8 F)</w:t>
      </w:r>
    </w:p>
    <w:p w14:paraId="44799D3B" w14:textId="77777777" w:rsidR="00A92380" w:rsidRPr="00A92380" w:rsidRDefault="00A92380" w:rsidP="00314D55">
      <w:pPr>
        <w:jc w:val="both"/>
        <w:rPr>
          <w:rFonts w:ascii="Book Antiqua" w:hAnsi="Book Antiqua"/>
        </w:rPr>
      </w:pPr>
    </w:p>
    <w:p w14:paraId="016DAF68" w14:textId="77777777" w:rsidR="00A92380" w:rsidRPr="00A92380" w:rsidRDefault="00A92380" w:rsidP="00314D55">
      <w:pPr>
        <w:jc w:val="both"/>
        <w:rPr>
          <w:rFonts w:ascii="Book Antiqua" w:hAnsi="Book Antiqua"/>
        </w:rPr>
      </w:pPr>
    </w:p>
    <w:p w14:paraId="75BF212A" w14:textId="77777777" w:rsidR="00314D55" w:rsidRPr="00314D55" w:rsidRDefault="00314D55" w:rsidP="00314D55">
      <w:pPr>
        <w:shd w:val="clear" w:color="auto" w:fill="FFFFFF"/>
        <w:spacing w:before="180" w:after="180"/>
        <w:ind w:firstLine="360"/>
        <w:jc w:val="both"/>
        <w:rPr>
          <w:rFonts w:ascii="Book Antiqua" w:hAnsi="Book Antiqua"/>
          <w:color w:val="000000"/>
        </w:rPr>
      </w:pPr>
    </w:p>
    <w:p w14:paraId="3FFC269B" w14:textId="59E38865" w:rsidR="008A13A7" w:rsidRPr="00314D55" w:rsidRDefault="00314D55" w:rsidP="00314D55">
      <w:pPr>
        <w:pStyle w:val="Prrafodelista"/>
        <w:numPr>
          <w:ilvl w:val="0"/>
          <w:numId w:val="1"/>
        </w:numPr>
        <w:jc w:val="both"/>
        <w:rPr>
          <w:rFonts w:ascii="Book Antiqua" w:hAnsi="Book Antiqua"/>
          <w:b/>
          <w:bCs/>
          <w:color w:val="FF0000"/>
        </w:rPr>
      </w:pPr>
      <w:r w:rsidRPr="00314D55">
        <w:rPr>
          <w:rFonts w:ascii="Book Antiqua" w:hAnsi="Book Antiqua"/>
          <w:b/>
          <w:bCs/>
          <w:color w:val="FF0000"/>
        </w:rPr>
        <w:t>PRECEPTOS CONFORMES CON EL ORDEN CONSTITUCIONAL DE COMPETENCIAS</w:t>
      </w:r>
      <w:r w:rsidRPr="00314D55">
        <w:rPr>
          <w:rFonts w:ascii="Book Antiqua" w:hAnsi="Book Antiqua"/>
          <w:b/>
          <w:bCs/>
          <w:color w:val="FF0000"/>
        </w:rPr>
        <w:t xml:space="preserve"> CON INTERPRETACION</w:t>
      </w:r>
    </w:p>
    <w:p w14:paraId="12E8CA02" w14:textId="079A71F1" w:rsidR="00314D55" w:rsidRPr="00314D55" w:rsidRDefault="00314D55" w:rsidP="00314D55">
      <w:pPr>
        <w:jc w:val="both"/>
        <w:rPr>
          <w:rFonts w:ascii="Book Antiqua" w:hAnsi="Book Antiqua"/>
          <w:b/>
          <w:bCs/>
          <w:color w:val="FF0000"/>
        </w:rPr>
      </w:pPr>
    </w:p>
    <w:p w14:paraId="3D782694" w14:textId="77777777" w:rsidR="00314D55" w:rsidRPr="00314D55" w:rsidRDefault="00314D55" w:rsidP="00314D55">
      <w:pPr>
        <w:pStyle w:val="Ttulo5"/>
        <w:shd w:val="clear" w:color="auto" w:fill="FFFFFF"/>
        <w:spacing w:before="360" w:beforeAutospacing="0" w:after="180" w:afterAutospacing="0"/>
        <w:jc w:val="both"/>
        <w:rPr>
          <w:rFonts w:ascii="Book Antiqua" w:hAnsi="Book Antiqua"/>
          <w:color w:val="000000"/>
          <w:sz w:val="24"/>
          <w:szCs w:val="24"/>
        </w:rPr>
      </w:pPr>
      <w:r w:rsidRPr="00314D55">
        <w:rPr>
          <w:rFonts w:ascii="Book Antiqua" w:hAnsi="Book Antiqua"/>
          <w:color w:val="000000"/>
          <w:sz w:val="24"/>
          <w:szCs w:val="24"/>
        </w:rPr>
        <w:t>Artículo 41. Revisión de oficio.</w:t>
      </w:r>
    </w:p>
    <w:p w14:paraId="456CE291" w14:textId="77777777" w:rsidR="00314D55" w:rsidRPr="00314D55" w:rsidRDefault="00314D55"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1. La revisión de oficio de los actos preparatorios y de los actos de adjudicación de los contratos se efectuará de conformidad con lo establecido en el Capítulo I del Título V de la Ley 39/2015, de 1 de octubre, del Procedimiento Administrativo Común de las Administraciones Públicas.</w:t>
      </w:r>
    </w:p>
    <w:p w14:paraId="7D3CB69B" w14:textId="77777777" w:rsidR="00314D55" w:rsidRPr="00314D55" w:rsidRDefault="00314D55" w:rsidP="00314D55">
      <w:pPr>
        <w:pStyle w:val="parrafo"/>
        <w:shd w:val="clear" w:color="auto" w:fill="FFFFFF"/>
        <w:spacing w:before="180" w:beforeAutospacing="0" w:after="180" w:afterAutospacing="0"/>
        <w:ind w:firstLine="360"/>
        <w:jc w:val="both"/>
        <w:rPr>
          <w:rFonts w:ascii="Book Antiqua" w:hAnsi="Book Antiqua"/>
          <w:color w:val="000000"/>
        </w:rPr>
      </w:pPr>
      <w:r w:rsidRPr="00314D55">
        <w:rPr>
          <w:rFonts w:ascii="Book Antiqua" w:hAnsi="Book Antiqua"/>
          <w:color w:val="000000"/>
        </w:rPr>
        <w:t>2. A los exclusivos efectos de la presente Ley, tendrán la consideración de actos administrativos los actos preparatorios y los actos de adjudicación de los contratos de las entidades del sector público que no sean Administraciones Públicas, así como los actos preparatorios y los actos de adjudicación de los contratos subvencionados a que se refiere el artículo 23 de la presente Ley. La revisión de oficio de dichos actos se efectuará de conformidad con lo dispuesto en el apartado anterior.</w:t>
      </w:r>
    </w:p>
    <w:p w14:paraId="1D3641A9" w14:textId="77777777" w:rsidR="00314D55" w:rsidRPr="00314D55" w:rsidRDefault="00314D55"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3. Sin perjuicio de lo que, para el ámbito de las Comunidades Autónomas establezcan sus normas respectivas que, en todo caso, deberán atribuir esta competencia a un órgano cuyas resoluciones agoten la vía administrativa, serán competentes para declarar la nulidad o lesividad de los actos a que se refieren los apartados anteriores el órgano de contratación, cuando se trate de contratos de una Administración Pública, o el titular del departamento, órgano, ente u organismo al que esté adscrita la entidad contratante o al que corresponda su tutela, cuando esta no tenga el carácter de Administración Pública. En este último caso, si la entidad contratante estuviera vinculada a más de una Administración, será competente el órgano correspondiente de la que ostente el control o participación mayoritaria.</w:t>
      </w:r>
    </w:p>
    <w:p w14:paraId="4581B2DB" w14:textId="4043475C" w:rsidR="00314D55" w:rsidRPr="00314D55" w:rsidRDefault="00314D55" w:rsidP="00314D55">
      <w:pPr>
        <w:pStyle w:val="parrafo"/>
        <w:shd w:val="clear" w:color="auto" w:fill="FFFFFF"/>
        <w:spacing w:before="180" w:beforeAutospacing="0" w:after="180" w:afterAutospacing="0"/>
        <w:ind w:firstLine="360"/>
        <w:jc w:val="both"/>
        <w:rPr>
          <w:rFonts w:ascii="Book Antiqua" w:hAnsi="Book Antiqua"/>
          <w:color w:val="FF0000"/>
        </w:rPr>
      </w:pPr>
      <w:r w:rsidRPr="00314D55">
        <w:rPr>
          <w:rFonts w:ascii="Book Antiqua" w:hAnsi="Book Antiqua"/>
          <w:color w:val="FF0000"/>
        </w:rPr>
        <w:t>En el supuesto de contratos subvencionados, la competencia corresponderá al titular del departamento, presidente o director de la entidad que hubiese otorgado la subvención, o al que esté adscrita la entidad que la hubiese concedido, cuando esta no tenga el carácter de Administración Pública. En el supuesto de concurrencia de subvenciones por parte de distintos sujetos del sector público, la competencia se determinará atendiendo a la subvención de mayor cuantía y, a igualdad de importe, atendiendo a la subvención primeramente concedida.</w:t>
      </w:r>
      <w:r>
        <w:rPr>
          <w:rFonts w:ascii="Book Antiqua" w:hAnsi="Book Antiqua"/>
          <w:color w:val="FF0000"/>
        </w:rPr>
        <w:t xml:space="preserve"> </w:t>
      </w:r>
      <w:r w:rsidRPr="00314D55">
        <w:rPr>
          <w:rFonts w:ascii="Book Antiqua" w:hAnsi="Book Antiqua"/>
          <w:b/>
          <w:bCs/>
          <w:color w:val="000000" w:themeColor="text1"/>
        </w:rPr>
        <w:t>FJ 9 B)</w:t>
      </w:r>
    </w:p>
    <w:p w14:paraId="1BB759D2" w14:textId="77777777" w:rsidR="00314D55" w:rsidRPr="00314D55" w:rsidRDefault="00314D55" w:rsidP="00314D55">
      <w:pPr>
        <w:jc w:val="both"/>
        <w:rPr>
          <w:rFonts w:ascii="Book Antiqua" w:hAnsi="Book Antiqua"/>
        </w:rPr>
      </w:pPr>
    </w:p>
    <w:p w14:paraId="445C267B" w14:textId="77777777" w:rsidR="00314D55" w:rsidRDefault="00314D55" w:rsidP="00314D55">
      <w:pPr>
        <w:pStyle w:val="Ttulo5"/>
        <w:shd w:val="clear" w:color="auto" w:fill="FFFFFF"/>
        <w:spacing w:before="360" w:beforeAutospacing="0" w:after="180" w:afterAutospacing="0"/>
        <w:rPr>
          <w:rFonts w:ascii="Verdana" w:hAnsi="Verdana"/>
          <w:color w:val="000000"/>
          <w:sz w:val="24"/>
          <w:szCs w:val="24"/>
        </w:rPr>
      </w:pPr>
      <w:r>
        <w:rPr>
          <w:rFonts w:ascii="Verdana" w:hAnsi="Verdana"/>
          <w:color w:val="000000"/>
          <w:sz w:val="24"/>
          <w:szCs w:val="24"/>
        </w:rPr>
        <w:t>Artículo 58. Indemnizaciones y multas.</w:t>
      </w:r>
    </w:p>
    <w:p w14:paraId="1E3D1B52" w14:textId="77777777"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1. El órgano competente para la resolución del recurso, a solicitud del interesado, podrá imponer a la entidad contratante la obligación de indemnizar a la persona interesada por los daños y perjuicios que le haya podido ocasionar la infracción legal que hubiese dado lugar al recurso, resarciéndole, cuando menos, de los gastos ocasionados por la preparación de la oferta o la participación en el procedimiento de contratación. La cuantía de la indemnización se fijará atendiendo en lo posible a los criterios establecidos en el Capítulo IV del Título Preliminar de la Ley 40/2015, de 1 de octubre, de Régimen Jurídico del Sector Público.</w:t>
      </w:r>
    </w:p>
    <w:p w14:paraId="294DDC14" w14:textId="77777777" w:rsidR="00314D55" w:rsidRPr="00314D55" w:rsidRDefault="00314D55" w:rsidP="00314D55">
      <w:pPr>
        <w:pStyle w:val="parrafo"/>
        <w:shd w:val="clear" w:color="auto" w:fill="FFFFFF"/>
        <w:spacing w:before="180" w:beforeAutospacing="0" w:after="180" w:afterAutospacing="0"/>
        <w:ind w:firstLine="360"/>
        <w:jc w:val="both"/>
        <w:rPr>
          <w:rFonts w:ascii="Verdana" w:hAnsi="Verdana"/>
          <w:color w:val="FF0000"/>
        </w:rPr>
      </w:pPr>
      <w:r w:rsidRPr="00314D55">
        <w:rPr>
          <w:rFonts w:ascii="Verdana" w:hAnsi="Verdana"/>
          <w:color w:val="FF0000"/>
        </w:rPr>
        <w:t>2. En caso de que el órgano competente aprecie temeridad o mala fe en la interposición del recurso o en la solicitud de medidas cautelares, podrá acordar la imposición de una multa al responsable de la misma.</w:t>
      </w:r>
    </w:p>
    <w:p w14:paraId="2B00A317" w14:textId="77777777" w:rsidR="00314D55" w:rsidRPr="00314D55" w:rsidRDefault="00314D55" w:rsidP="00314D55">
      <w:pPr>
        <w:pStyle w:val="parrafo"/>
        <w:shd w:val="clear" w:color="auto" w:fill="FFFFFF"/>
        <w:spacing w:before="180" w:beforeAutospacing="0" w:after="180" w:afterAutospacing="0"/>
        <w:ind w:firstLine="360"/>
        <w:jc w:val="both"/>
        <w:rPr>
          <w:rFonts w:ascii="Verdana" w:hAnsi="Verdana"/>
          <w:color w:val="FF0000"/>
        </w:rPr>
      </w:pPr>
      <w:r w:rsidRPr="00314D55">
        <w:rPr>
          <w:rFonts w:ascii="Verdana" w:hAnsi="Verdana"/>
          <w:color w:val="FF0000"/>
        </w:rPr>
        <w:t>El importe de la multa será de entre 1.000 y 30.000 euros, determinándose su cuantía en función de la mala fe apreciada y el perjuicio ocasionado al órgano de contratación y a los restantes licitadores, así como del cálculo de los beneficios obtenidos.</w:t>
      </w:r>
    </w:p>
    <w:p w14:paraId="527D6932" w14:textId="77777777" w:rsidR="00314D55" w:rsidRPr="00314D55" w:rsidRDefault="00314D55" w:rsidP="00314D55">
      <w:pPr>
        <w:pStyle w:val="parrafo"/>
        <w:shd w:val="clear" w:color="auto" w:fill="FFFFFF"/>
        <w:spacing w:before="180" w:beforeAutospacing="0" w:after="180" w:afterAutospacing="0"/>
        <w:ind w:firstLine="360"/>
        <w:jc w:val="both"/>
        <w:rPr>
          <w:rFonts w:ascii="Verdana" w:hAnsi="Verdana"/>
          <w:color w:val="FF0000"/>
        </w:rPr>
      </w:pPr>
      <w:r w:rsidRPr="00314D55">
        <w:rPr>
          <w:rFonts w:ascii="Verdana" w:hAnsi="Verdana"/>
          <w:color w:val="FF0000"/>
        </w:rPr>
        <w:t>El importe de la multa impuesta se ingresará en todo caso en el Tesoro Público.</w:t>
      </w:r>
    </w:p>
    <w:p w14:paraId="303973B7" w14:textId="70C935A2"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r w:rsidRPr="00314D55">
        <w:rPr>
          <w:rFonts w:ascii="Verdana" w:hAnsi="Verdana"/>
          <w:color w:val="FF0000"/>
        </w:rPr>
        <w:t>Las cuantías indicadas en este apartado podrán ser actualizadas por Orden del Ministro de Hacienda y Función Pública</w:t>
      </w:r>
      <w:r>
        <w:rPr>
          <w:rFonts w:ascii="Verdana" w:hAnsi="Verdana"/>
          <w:color w:val="000000"/>
        </w:rPr>
        <w:t>.</w:t>
      </w:r>
      <w:r>
        <w:rPr>
          <w:rFonts w:ascii="Verdana" w:hAnsi="Verdana"/>
          <w:color w:val="000000"/>
        </w:rPr>
        <w:t xml:space="preserve"> </w:t>
      </w:r>
      <w:r w:rsidRPr="00314D55">
        <w:rPr>
          <w:rFonts w:ascii="Verdana" w:hAnsi="Verdana"/>
          <w:b/>
          <w:bCs/>
          <w:color w:val="000000"/>
        </w:rPr>
        <w:t>FJ 6 E) d)</w:t>
      </w:r>
    </w:p>
    <w:p w14:paraId="05007188" w14:textId="77777777" w:rsidR="00314D55" w:rsidRDefault="00314D55" w:rsidP="00314D55">
      <w:pPr>
        <w:pStyle w:val="Ttulo5"/>
        <w:shd w:val="clear" w:color="auto" w:fill="FFFFFF"/>
        <w:spacing w:before="360" w:beforeAutospacing="0" w:after="180" w:afterAutospacing="0"/>
        <w:rPr>
          <w:rFonts w:ascii="Verdana" w:hAnsi="Verdana"/>
          <w:color w:val="000000"/>
          <w:sz w:val="24"/>
          <w:szCs w:val="24"/>
        </w:rPr>
      </w:pPr>
      <w:r>
        <w:rPr>
          <w:rFonts w:ascii="Verdana" w:hAnsi="Verdana"/>
          <w:color w:val="000000"/>
          <w:sz w:val="24"/>
          <w:szCs w:val="24"/>
        </w:rPr>
        <w:t>Artículo 82. Plazo de vigencia y revisión de las clasificaciones.</w:t>
      </w:r>
    </w:p>
    <w:p w14:paraId="7D102F5E" w14:textId="77777777"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1. La clasificación de las empresas tendrá una vigencia indefinida en tanto se mantengan por el empresario las condiciones y circunstancias en que se basó su concesión.</w:t>
      </w:r>
    </w:p>
    <w:p w14:paraId="70F6157E" w14:textId="77777777" w:rsidR="00314D55" w:rsidRPr="00314D55" w:rsidRDefault="00314D55" w:rsidP="00314D55">
      <w:pPr>
        <w:pStyle w:val="parrafo"/>
        <w:shd w:val="clear" w:color="auto" w:fill="FFFFFF"/>
        <w:spacing w:before="180" w:beforeAutospacing="0" w:after="180" w:afterAutospacing="0"/>
        <w:ind w:firstLine="360"/>
        <w:jc w:val="both"/>
        <w:rPr>
          <w:rFonts w:ascii="Verdana" w:hAnsi="Verdana"/>
          <w:color w:val="FF0000"/>
        </w:rPr>
      </w:pPr>
      <w:r w:rsidRPr="00314D55">
        <w:rPr>
          <w:rFonts w:ascii="Verdana" w:hAnsi="Verdana"/>
          <w:color w:val="FF0000"/>
        </w:rPr>
        <w:t>2. No obstante, y sin perjuicio de lo señalado en el apartado 3 de este artículo y en el artículo siguiente, para la conservación de la clasificación deberá justificarse anualmente el mantenimiento de la solvencia económica y financiera y, cada tres años, el de la solvencia técnica y profesional, a cuyo efecto el empresario aportará la correspondiente declaración responsable o en su defecto la documentación actualizada en los términos que se establezcan reglamentariamente.</w:t>
      </w:r>
    </w:p>
    <w:p w14:paraId="2BA375CA" w14:textId="23DFCDE1"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r w:rsidRPr="00314D55">
        <w:rPr>
          <w:rFonts w:ascii="Verdana" w:hAnsi="Verdana"/>
          <w:color w:val="FF0000"/>
        </w:rPr>
        <w:t xml:space="preserve">La no aportación en los plazos reglamentariamente establecidos de las declaraciones o documentos a los que se refiere el párrafo anterior dará lugar a la suspensión automática de las clasificaciones ostentadas, así como a la apertura de expediente de revisión de clasificación. La suspensión de las clasificaciones se levantará por la aportación de dichas declaraciones o documentos, si aún no se ha comunicado al interesado el inicio del expediente de revisión, o por el acuerdo de revisión de clasificación adoptado por el órgano competente, en caso </w:t>
      </w:r>
      <w:proofErr w:type="spellStart"/>
      <w:r w:rsidRPr="00314D55">
        <w:rPr>
          <w:rFonts w:ascii="Verdana" w:hAnsi="Verdana"/>
          <w:color w:val="FF0000"/>
        </w:rPr>
        <w:t>contrario</w:t>
      </w:r>
      <w:r>
        <w:rPr>
          <w:rFonts w:ascii="Verdana" w:hAnsi="Verdana"/>
          <w:color w:val="000000"/>
        </w:rPr>
        <w:t>.</w:t>
      </w:r>
      <w:r w:rsidRPr="00314D55">
        <w:rPr>
          <w:rFonts w:ascii="Verdana" w:hAnsi="Verdana"/>
          <w:b/>
          <w:bCs/>
          <w:color w:val="000000"/>
        </w:rPr>
        <w:t>F</w:t>
      </w:r>
      <w:proofErr w:type="spellEnd"/>
      <w:r w:rsidRPr="00314D55">
        <w:rPr>
          <w:rFonts w:ascii="Verdana" w:hAnsi="Verdana"/>
          <w:b/>
          <w:bCs/>
          <w:color w:val="000000"/>
        </w:rPr>
        <w:t xml:space="preserve"> J 6 G) g)</w:t>
      </w:r>
    </w:p>
    <w:p w14:paraId="2313B532" w14:textId="77777777" w:rsidR="00314D55" w:rsidRDefault="00314D55" w:rsidP="00314D55">
      <w:pPr>
        <w:pStyle w:val="Ttulo5"/>
        <w:shd w:val="clear" w:color="auto" w:fill="FFFFFF"/>
        <w:spacing w:before="360" w:beforeAutospacing="0" w:after="180" w:afterAutospacing="0"/>
        <w:rPr>
          <w:rFonts w:ascii="Verdana" w:hAnsi="Verdana"/>
          <w:color w:val="000000"/>
          <w:sz w:val="24"/>
          <w:szCs w:val="24"/>
        </w:rPr>
      </w:pPr>
      <w:r>
        <w:rPr>
          <w:rFonts w:ascii="Verdana" w:hAnsi="Verdana"/>
          <w:color w:val="000000"/>
          <w:sz w:val="24"/>
          <w:szCs w:val="24"/>
        </w:rPr>
        <w:t>Artículo 177. Caracterización del procedimiento de asociación para la innovación.</w:t>
      </w:r>
    </w:p>
    <w:p w14:paraId="461AF915" w14:textId="77777777"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1. La asociación para la innovación es un procedimiento que tiene como finalidad el desarrollo de productos, servicios u obras innovadores y la compra ulterior de los suministros, servicios u obras resultantes, siempre que correspondan a los niveles de rendimiento y a los costes máximos acordados entre los órganos de contratación y los participantes.</w:t>
      </w:r>
    </w:p>
    <w:p w14:paraId="13D28422" w14:textId="77777777"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A tal efecto, en los pliegos de cláusulas administrativas particulares, el órgano de contratación determinará cuál es la necesidad de un producto, servicio u obra innovadores que no puede ser satisfecha mediante la adquisición de productos, servicios u obras ya disponibles en el mercado. Indicará asimismo qué elementos de la descripción constituyen los requisitos mínimos que han de cumplir todos los licitadores, y definirá las disposiciones aplicables a los derechos de propiedad intelectual e industrial. La información facilitada será lo suficientemente precisa como para que los empresarios puedan identificar la naturaleza y el ámbito de la solución requerida y decidir si solicitan participar en el procedimiento.</w:t>
      </w:r>
    </w:p>
    <w:p w14:paraId="0E23B63D" w14:textId="77777777"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2. El órgano de contratación podrá decidir crear la asociación para la innovación con uno o varios socios que efectúen por separado actividades de investigación y desarrollo.</w:t>
      </w:r>
    </w:p>
    <w:p w14:paraId="0B130A3F" w14:textId="77777777"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El socio o socios habrán sido previamente seleccionados en la forma regulada en los artículos 178 y 179 de esta Ley.</w:t>
      </w:r>
    </w:p>
    <w:p w14:paraId="747CBC52" w14:textId="77777777"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3. Los contratos que se adjudiquen por este procedimiento se regirán:</w:t>
      </w:r>
    </w:p>
    <w:p w14:paraId="705180C9" w14:textId="6EC211F7" w:rsidR="00314D55" w:rsidRDefault="00314D55" w:rsidP="00314D55">
      <w:pPr>
        <w:pStyle w:val="parrafo2"/>
        <w:shd w:val="clear" w:color="auto" w:fill="FFFFFF"/>
        <w:spacing w:before="360" w:beforeAutospacing="0" w:after="180" w:afterAutospacing="0"/>
        <w:ind w:firstLine="360"/>
        <w:jc w:val="both"/>
        <w:rPr>
          <w:rFonts w:ascii="Verdana" w:hAnsi="Verdana"/>
          <w:color w:val="000000"/>
        </w:rPr>
      </w:pPr>
      <w:r w:rsidRPr="00314D55">
        <w:rPr>
          <w:rFonts w:ascii="Verdana" w:hAnsi="Verdana"/>
          <w:color w:val="FF0000"/>
        </w:rPr>
        <w:t>a) En la fase de investigación y desarrollo, por las normas que se establezcan reglamentariamente, así como por las prescripciones contenidas en los correspondientes pliegos, y supletoriamente por las normas del contrato de servicios</w:t>
      </w:r>
      <w:r>
        <w:rPr>
          <w:rFonts w:ascii="Verdana" w:hAnsi="Verdana"/>
          <w:color w:val="000000"/>
        </w:rPr>
        <w:t>.</w:t>
      </w:r>
      <w:r>
        <w:rPr>
          <w:rFonts w:ascii="Verdana" w:hAnsi="Verdana"/>
          <w:color w:val="000000"/>
        </w:rPr>
        <w:t xml:space="preserve"> </w:t>
      </w:r>
      <w:r w:rsidRPr="00314D55">
        <w:rPr>
          <w:rFonts w:ascii="Verdana" w:hAnsi="Verdana"/>
          <w:b/>
          <w:bCs/>
          <w:color w:val="000000"/>
        </w:rPr>
        <w:t>F J 7 B) h)</w:t>
      </w:r>
    </w:p>
    <w:p w14:paraId="2D812529" w14:textId="77777777" w:rsidR="00314D55" w:rsidRDefault="00314D55" w:rsidP="00314D55">
      <w:r>
        <w:rPr>
          <w:rFonts w:ascii="Verdana" w:hAnsi="Verdana"/>
          <w:color w:val="000000"/>
          <w:shd w:val="clear" w:color="auto" w:fill="FFFFFF"/>
        </w:rPr>
        <w:t>b) En la fase de ejecución de las obras, servicios o suministros derivados de este procedimiento, por las normas correspondientes al contrato relativo a la prestación de que se trate.</w:t>
      </w:r>
    </w:p>
    <w:p w14:paraId="6A4FCC0B" w14:textId="77777777" w:rsidR="00661F24" w:rsidRDefault="00661F24" w:rsidP="00661F24">
      <w:pPr>
        <w:pStyle w:val="Ttulo5"/>
        <w:shd w:val="clear" w:color="auto" w:fill="FFFFFF"/>
        <w:spacing w:before="360" w:beforeAutospacing="0" w:after="180" w:afterAutospacing="0"/>
        <w:rPr>
          <w:rFonts w:ascii="Verdana" w:hAnsi="Verdana"/>
          <w:color w:val="000000"/>
          <w:sz w:val="24"/>
          <w:szCs w:val="24"/>
        </w:rPr>
      </w:pPr>
      <w:r>
        <w:rPr>
          <w:rFonts w:ascii="Verdana" w:hAnsi="Verdana"/>
          <w:color w:val="000000"/>
          <w:sz w:val="24"/>
          <w:szCs w:val="24"/>
        </w:rPr>
        <w:t>Artículo 187. Jurado y decisión del concurso.</w:t>
      </w:r>
    </w:p>
    <w:p w14:paraId="1253C114"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1. Una vez finalizado el plazo de presentación de las propuestas de proyectos, se constituirá un jurado cuyos miembros serán designados de conformidad con lo establecido en las bases del concurso.</w:t>
      </w:r>
    </w:p>
    <w:p w14:paraId="3222D224"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En los concursos de proyectos no habrá intervención de la mesa de contratación. Todas aquellas funciones administrativas o de otra índole no atribuidas específicamente al Jurado serán realizadas por los servicios dependientes del órgano de contratación.</w:t>
      </w:r>
    </w:p>
    <w:p w14:paraId="7CE4798E"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2. El jurado estará compuesto por personas físicas independientes de los participantes en el concurso de proyectos.</w:t>
      </w:r>
    </w:p>
    <w:p w14:paraId="64182B8E"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3. Cuando se exija una cualificación profesional específica para participar en un concurso de proyectos, al menos dos tercios de los miembros del jurado deberán poseer dicha cualificación u otra equivalente.</w:t>
      </w:r>
    </w:p>
    <w:p w14:paraId="0E4BC0E1"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4. El jurado adoptará sus decisiones o dictámenes con total autonomía e independencia, sobre la base de proyectos que le serán presentados de forma anónima, y atendiendo únicamente a los criterios indicados en el anuncio de licitación del concurso.</w:t>
      </w:r>
    </w:p>
    <w:p w14:paraId="0B33267F"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A estos efectos se entenderá por proyectos presentados de forma anónima aquellos en los que no solo no figure el nombre de su autor, sino que además no contengan datos o indicios de cualquier tipo que permitan conocer indirectamente la identidad del autor o autores del mismo.</w:t>
      </w:r>
    </w:p>
    <w:p w14:paraId="445896CD"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5. El jurado hará constar en un informe, firmado por sus miembros, la clasificación de los proyectos, teniendo en cuenta los méritos de cada proyecto, junto con sus observaciones y cualesquiera aspectos que requieran aclaración, del que se dará traslado al órgano de contratación.</w:t>
      </w:r>
    </w:p>
    <w:p w14:paraId="159E06F3"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6. Deberá respetarse el anonimato hasta que el jurado emita su dictamen o decisión.</w:t>
      </w:r>
    </w:p>
    <w:p w14:paraId="6A7D4EE6"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7. De ser necesario, podrá invitarse a los participantes a que respondan a preguntas que el jurado haya incluido en el acta para aclarar cualquier aspecto de los proyectos, debiendo levantarse un acta completa del diálogo entre los miembros del jurado y los participantes.</w:t>
      </w:r>
    </w:p>
    <w:p w14:paraId="6448B75A"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8. Una vez que el jurado hubiere adoptado una decisión, dará traslado de la misma al órgano de contratación para que este proceda a la adjudicación del concurso de proyectos al participante indicado por el primero.</w:t>
      </w:r>
    </w:p>
    <w:p w14:paraId="54AEE3D1"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9. Los premios y los pagos que, en su caso, se hubieren establecido en las bases del concurso, se abonarán de conformidad con lo establecido en el artículo 198, contándose los plazos fijados en él a partir de que la adjudicación sea notificada.</w:t>
      </w:r>
    </w:p>
    <w:p w14:paraId="5466A6E3"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A tales efectos, en el expediente de gasto se acreditará la cobertura financiera necesaria para poder hacer frente a dichos premios o pagos.</w:t>
      </w:r>
    </w:p>
    <w:p w14:paraId="011D23C4"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10. En lo no previsto por esta Subsección el concurso de los proyectos se regirá por las normas del procedimiento restringido en caso de que se limite el número de participantes, y en caso contrario del procedimiento abierto, en todo aquello en que no resulten incompatibles y, también, por las disposiciones reguladoras de la contratación de servicios.</w:t>
      </w:r>
    </w:p>
    <w:p w14:paraId="55F1CCC0" w14:textId="3CEC7760" w:rsidR="00661F24" w:rsidRPr="00661F24" w:rsidRDefault="00661F24" w:rsidP="00661F24">
      <w:pPr>
        <w:pStyle w:val="parrafo"/>
        <w:shd w:val="clear" w:color="auto" w:fill="FFFFFF"/>
        <w:spacing w:before="180" w:beforeAutospacing="0" w:after="180" w:afterAutospacing="0"/>
        <w:ind w:firstLine="360"/>
        <w:jc w:val="both"/>
        <w:rPr>
          <w:rFonts w:ascii="Verdana" w:hAnsi="Verdana"/>
          <w:color w:val="FF0000"/>
        </w:rPr>
      </w:pPr>
      <w:r w:rsidRPr="00661F24">
        <w:rPr>
          <w:rFonts w:ascii="Verdana" w:hAnsi="Verdana"/>
          <w:color w:val="FF0000"/>
        </w:rPr>
        <w:t>11. Las normas relativas a los concursos de proyectos previstas en esta subsección serán objeto de desarrollo reglamentario.</w:t>
      </w:r>
      <w:r>
        <w:rPr>
          <w:rFonts w:ascii="Verdana" w:hAnsi="Verdana"/>
          <w:color w:val="FF0000"/>
        </w:rPr>
        <w:t xml:space="preserve"> F J 7 B) i)</w:t>
      </w:r>
    </w:p>
    <w:p w14:paraId="5BE9F2D3" w14:textId="77777777" w:rsidR="00314D55" w:rsidRDefault="00314D55" w:rsidP="00314D55">
      <w:pPr>
        <w:pStyle w:val="parrafo"/>
        <w:shd w:val="clear" w:color="auto" w:fill="FFFFFF"/>
        <w:spacing w:before="180" w:beforeAutospacing="0" w:after="180" w:afterAutospacing="0"/>
        <w:ind w:firstLine="360"/>
        <w:jc w:val="both"/>
        <w:rPr>
          <w:rFonts w:ascii="Verdana" w:hAnsi="Verdana"/>
          <w:color w:val="000000"/>
        </w:rPr>
      </w:pPr>
    </w:p>
    <w:p w14:paraId="00A7BB80" w14:textId="77777777" w:rsidR="00661F24" w:rsidRDefault="00661F24" w:rsidP="00661F24">
      <w:pPr>
        <w:pStyle w:val="Ttulo5"/>
        <w:shd w:val="clear" w:color="auto" w:fill="FFFFFF"/>
        <w:spacing w:before="360" w:beforeAutospacing="0" w:after="180" w:afterAutospacing="0"/>
        <w:rPr>
          <w:rFonts w:ascii="Verdana" w:hAnsi="Verdana"/>
          <w:color w:val="000000"/>
          <w:sz w:val="24"/>
          <w:szCs w:val="24"/>
        </w:rPr>
      </w:pPr>
      <w:r>
        <w:rPr>
          <w:rFonts w:ascii="Verdana" w:hAnsi="Verdana"/>
          <w:color w:val="000000"/>
          <w:sz w:val="24"/>
          <w:szCs w:val="24"/>
        </w:rPr>
        <w:t>Disposición adicional trigésima octava. No incremento de gastos.</w:t>
      </w:r>
    </w:p>
    <w:p w14:paraId="3DD0DA44" w14:textId="588AB3FC" w:rsidR="00661F24" w:rsidRDefault="00661F24" w:rsidP="00661F24">
      <w:pPr>
        <w:pStyle w:val="parrafo"/>
        <w:shd w:val="clear" w:color="auto" w:fill="FFFFFF"/>
        <w:spacing w:before="180" w:beforeAutospacing="0" w:after="180" w:afterAutospacing="0"/>
        <w:ind w:firstLine="360"/>
        <w:jc w:val="both"/>
        <w:rPr>
          <w:rFonts w:ascii="Verdana" w:hAnsi="Verdana"/>
          <w:b/>
          <w:bCs/>
          <w:color w:val="000000"/>
        </w:rPr>
      </w:pPr>
      <w:r w:rsidRPr="00661F24">
        <w:rPr>
          <w:rFonts w:ascii="Verdana" w:hAnsi="Verdana"/>
          <w:color w:val="FF0000"/>
        </w:rPr>
        <w:t>Las medidas incluidas en esta norma no podrán suponer incremento de dotaciones, ni de retribuciones, ni de otros gastos de personal salvo los gastos derivados de las funciones atribuidas en esta Ley a la Junta Consultiva de Contratación Pública del Estado y a la Oficina Independiente de Regulación y Supervisión de la Contratación</w:t>
      </w:r>
      <w:r>
        <w:rPr>
          <w:rFonts w:ascii="Verdana" w:hAnsi="Verdana"/>
          <w:color w:val="000000"/>
        </w:rPr>
        <w:t>.</w:t>
      </w:r>
      <w:r>
        <w:rPr>
          <w:rFonts w:ascii="Verdana" w:hAnsi="Verdana"/>
          <w:color w:val="000000"/>
        </w:rPr>
        <w:t xml:space="preserve"> </w:t>
      </w:r>
      <w:r w:rsidRPr="00661F24">
        <w:rPr>
          <w:rFonts w:ascii="Verdana" w:hAnsi="Verdana"/>
          <w:b/>
          <w:bCs/>
          <w:color w:val="000000"/>
        </w:rPr>
        <w:t>F J 8 E)</w:t>
      </w:r>
    </w:p>
    <w:p w14:paraId="5C27A86E" w14:textId="787574A6" w:rsidR="00661F24" w:rsidRDefault="00661F24" w:rsidP="00661F24">
      <w:pPr>
        <w:pStyle w:val="parrafo"/>
        <w:shd w:val="clear" w:color="auto" w:fill="FFFFFF"/>
        <w:spacing w:before="180" w:beforeAutospacing="0" w:after="180" w:afterAutospacing="0"/>
        <w:ind w:firstLine="360"/>
        <w:jc w:val="both"/>
        <w:rPr>
          <w:rFonts w:ascii="Verdana" w:hAnsi="Verdana"/>
          <w:b/>
          <w:bCs/>
          <w:color w:val="000000"/>
        </w:rPr>
      </w:pPr>
    </w:p>
    <w:p w14:paraId="0BB1594D" w14:textId="77777777" w:rsidR="00661F24" w:rsidRDefault="00661F24" w:rsidP="00661F24">
      <w:pPr>
        <w:pStyle w:val="Ttulo5"/>
        <w:shd w:val="clear" w:color="auto" w:fill="FFFFFF"/>
        <w:spacing w:before="360" w:beforeAutospacing="0" w:after="180" w:afterAutospacing="0"/>
        <w:rPr>
          <w:rFonts w:ascii="Verdana" w:hAnsi="Verdana"/>
          <w:color w:val="000000"/>
          <w:sz w:val="24"/>
          <w:szCs w:val="24"/>
        </w:rPr>
      </w:pPr>
      <w:r>
        <w:rPr>
          <w:rFonts w:ascii="Verdana" w:hAnsi="Verdana"/>
          <w:color w:val="000000"/>
          <w:sz w:val="24"/>
          <w:szCs w:val="24"/>
        </w:rPr>
        <w:t>Disposición final primera. Títulos competenciales.</w:t>
      </w:r>
    </w:p>
    <w:p w14:paraId="2DBB918D"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1. El artículo 27 se dicta al amparo de la regla 6.ª del artículo 149.1 de la Constitución, que atribuye al Estado la competencia sobre «legislación procesal, sin perjuicio de las necesarias especialidades que en este orden se deriven de las particularidades del derecho sustantivo de las Comunidades Autónomas».</w:t>
      </w:r>
    </w:p>
    <w:p w14:paraId="0FCB9901"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2. Los artículos que se indican a continuación se dictan al amparo de las competencias exclusivas que corresponden al Estado para dictar la legislación civil y mercantil en virtud de lo dispuesto en el artículo 149.1.6.ª y 8.ª de la Constitución, artículo 271.1, artículo 272.1 y 2, artículo 273.1, artículo 274, artículo 275 y artículo 276.</w:t>
      </w:r>
    </w:p>
    <w:p w14:paraId="10B9797B" w14:textId="0E6C5E1B"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 xml:space="preserve">3. </w:t>
      </w:r>
      <w:r w:rsidRPr="00661F24">
        <w:rPr>
          <w:rFonts w:ascii="Verdana" w:hAnsi="Verdana"/>
          <w:color w:val="FF0000"/>
        </w:rPr>
        <w:t>El apartado 3 del artículo 347 constituye legislación básica y se dicta al amparo del artículo 149.1.18 de la Constitución en materia de «bases del régimen jurídico de las Administraciones Públicas». Por su parte, los restantes artículos de la presente Ley constituyen legislación básica dictada al amparo del artículo 149.1.18.ª de la Constitución en materia de legislación básica sobre contratos y concesiones administrativas y, en consecuencia, son de aplicación general a todas las Administraciones Públicas y organismos y entidades dependientes de ellas</w:t>
      </w:r>
      <w:r>
        <w:rPr>
          <w:rFonts w:ascii="Verdana" w:hAnsi="Verdana"/>
          <w:color w:val="000000"/>
        </w:rPr>
        <w:t>.</w:t>
      </w:r>
      <w:r>
        <w:rPr>
          <w:rFonts w:ascii="Verdana" w:hAnsi="Verdana"/>
          <w:color w:val="000000"/>
        </w:rPr>
        <w:t xml:space="preserve"> </w:t>
      </w:r>
      <w:r w:rsidRPr="00661F24">
        <w:rPr>
          <w:rFonts w:ascii="Verdana" w:hAnsi="Verdana"/>
          <w:b/>
          <w:bCs/>
          <w:color w:val="000000"/>
        </w:rPr>
        <w:t>F.J 10</w:t>
      </w:r>
    </w:p>
    <w:p w14:paraId="36762D6A"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No obstante, no tendrán carácter básico los siguientes artículos o partes de los mismos: Letra a) del apartado 1 del artículo 21; letra a) del apartado 1 del artículo 22; artículo 30; la letra c) del apartado 6 del artículo 32; artículos 45 y 46.1 a 46.3; artículo 69.3; artículo 71.1.f); artículo 76; artículo 83; artículo 95; artículo 104; artículo 105; párrafo segundo del apartado 1 del artículo 107; segundo párrafo del apartado 3 y apartado 5 del artículo 116; artículo 118.4; letras a) y c) del apartado 2 del artículo 119; letra b) del artículo 120.1; apartado 1 del artículo 121; apartados 5, 6 y 7 del artículo 122; artículos 123 y 124; cuarto párrafo del apartado 4 del artículo 149; artículo 153; apartado 2 del artículo 154; artículo 191.2; artículo 192.2 y 3; artículo 193.2 a 5; artículo 194; apartados 2 y 5 del artículo 212; apartado 8 del artículo 215; artículo 228; apartados 1, 2, 5; el párrafo segundo del apartado 6, y apartados 7 y 8 del artículo 229; artículo 230; apartados 1.e) y 4 del artículo 233; artículo 234; artículo 235; artículo 236; artículo 237; artículo 238.2; artículo 240; apartado 1 del artículo 241; el apartado 4, salvo la previsión de la letra b) del primer párrafo y el segundo párrafo, y 5 del artículo 242; artículo 243; artículo 253; artículo 256; artículo 260; apartados 2 y 3 del artículo 263; artículo 266; apartado 5 del artículo 267; artículo 268; artículo 272.6; artículo 273.2; artículo 294.b); artículo 298; apartados 2 y 3 del artículo 300; artículo 302; artículo 303; artículo 304; artículo 305; apartados 2 y 3 del artículo 307; apartados 2 y 3 del artículo 313; apartados 3, 4, 5 y 6 del artículo 314; artículo 315; artículo 323; artículo 324; artículo 325; artículos 326 y 327; artículo 328, salvo el apartado 4; artículo 335.4; apartados 1, 2 y 7 del artículo 347; letra a) y segundo párrafo de la letra f) del apartado 1 de la disposición adicional primera; el párrafo tercero, apartado 1, de la disposición adicional cuarta; disposición adicional decimocuarta; disposición adicional decimonovena; disposición adicional vigésima; disposición adicional vigésima cuarta; disposición adicional vigésima novena; disposición adicional trigésima; disposición transitoria primera; disposición final séptima, y disposición final octava.</w:t>
      </w:r>
    </w:p>
    <w:p w14:paraId="6EB90B27"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A los mismos efectos previstos en el párrafo anterior tendrán la consideración de mínimas las exigencias que para los contratos menores se establecen en el artículo 118.1 y tendrán la consideración de máximos los siguientes porcentajes, cuantías o plazos:</w:t>
      </w:r>
    </w:p>
    <w:p w14:paraId="4BEDDA98" w14:textId="77777777" w:rsidR="00661F24" w:rsidRDefault="00661F24" w:rsidP="00661F24">
      <w:pPr>
        <w:pStyle w:val="parrafo2"/>
        <w:shd w:val="clear" w:color="auto" w:fill="FFFFFF"/>
        <w:spacing w:before="360" w:beforeAutospacing="0" w:after="180" w:afterAutospacing="0"/>
        <w:ind w:firstLine="360"/>
        <w:jc w:val="both"/>
        <w:rPr>
          <w:rFonts w:ascii="Verdana" w:hAnsi="Verdana"/>
          <w:color w:val="000000"/>
        </w:rPr>
      </w:pPr>
      <w:r>
        <w:rPr>
          <w:rFonts w:ascii="Verdana" w:hAnsi="Verdana"/>
          <w:color w:val="000000"/>
        </w:rPr>
        <w:t>El porcentaje del 3 por 100 del artículo 106.2.</w:t>
      </w:r>
    </w:p>
    <w:p w14:paraId="7EE7C3C5"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El porcentaje del 5 por 100 del artículo 107.1 y 2.</w:t>
      </w:r>
    </w:p>
    <w:p w14:paraId="1C4E5282"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Las cuantías del artículo 131.4.</w:t>
      </w:r>
    </w:p>
    <w:p w14:paraId="03BFF51C"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r>
        <w:rPr>
          <w:rFonts w:ascii="Verdana" w:hAnsi="Verdana"/>
          <w:color w:val="000000"/>
        </w:rPr>
        <w:t>Los plazos de un mes establecidos en los apartados 2 y 4 del artículo 210.</w:t>
      </w:r>
    </w:p>
    <w:p w14:paraId="762AE944" w14:textId="77777777" w:rsidR="00661F24" w:rsidRDefault="00661F24" w:rsidP="00661F24">
      <w:pPr>
        <w:pStyle w:val="parrafo2"/>
        <w:shd w:val="clear" w:color="auto" w:fill="FFFFFF"/>
        <w:spacing w:before="360" w:beforeAutospacing="0" w:after="180" w:afterAutospacing="0"/>
        <w:ind w:firstLine="360"/>
        <w:jc w:val="both"/>
        <w:rPr>
          <w:rFonts w:ascii="Verdana" w:hAnsi="Verdana"/>
          <w:color w:val="000000"/>
        </w:rPr>
      </w:pPr>
      <w:r>
        <w:rPr>
          <w:rFonts w:ascii="Verdana" w:hAnsi="Verdana"/>
          <w:color w:val="000000"/>
        </w:rPr>
        <w:t>4. Las previsiones de esta Ley serán de aplicación a las Comunidades Autónomas de acuerdo con lo establecido en los apartados 1, 2 y 3 anteriores, sin perjuicio de las posiciones singulares que en materia de sistema institucional, y en lo que respecta a las competencias exclusivas y compartidas, en materia de función pública y de auto organización, en cada caso resulten de aplicación en virtud de lo dispuesto en la Constitución Española y en los Estatutos de Autonomía.</w:t>
      </w:r>
    </w:p>
    <w:p w14:paraId="4D090BB3" w14:textId="77777777" w:rsidR="00661F24" w:rsidRDefault="00661F24" w:rsidP="00661F24">
      <w:pPr>
        <w:pStyle w:val="parrafo"/>
        <w:shd w:val="clear" w:color="auto" w:fill="FFFFFF"/>
        <w:spacing w:before="180" w:beforeAutospacing="0" w:after="180" w:afterAutospacing="0"/>
        <w:ind w:firstLine="360"/>
        <w:jc w:val="both"/>
        <w:rPr>
          <w:rFonts w:ascii="Verdana" w:hAnsi="Verdana"/>
          <w:color w:val="000000"/>
        </w:rPr>
      </w:pPr>
    </w:p>
    <w:p w14:paraId="2718F113" w14:textId="77777777" w:rsidR="00314D55" w:rsidRDefault="00314D55" w:rsidP="00314D55"/>
    <w:p w14:paraId="4B11DB67" w14:textId="77777777" w:rsidR="00314D55" w:rsidRPr="00314D55" w:rsidRDefault="00314D55" w:rsidP="00314D55">
      <w:pPr>
        <w:jc w:val="both"/>
        <w:rPr>
          <w:rFonts w:ascii="Book Antiqua" w:hAnsi="Book Antiqua"/>
        </w:rPr>
      </w:pPr>
    </w:p>
    <w:sectPr w:rsidR="00314D55" w:rsidRPr="00314D55" w:rsidSect="00EC48D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73C4E"/>
    <w:multiLevelType w:val="hybridMultilevel"/>
    <w:tmpl w:val="363C1AAE"/>
    <w:lvl w:ilvl="0" w:tplc="08C0FE3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A7"/>
    <w:rsid w:val="0003566E"/>
    <w:rsid w:val="001D0997"/>
    <w:rsid w:val="00314D55"/>
    <w:rsid w:val="005007A9"/>
    <w:rsid w:val="00661F24"/>
    <w:rsid w:val="00716884"/>
    <w:rsid w:val="007971E6"/>
    <w:rsid w:val="008A13A7"/>
    <w:rsid w:val="00A7658C"/>
    <w:rsid w:val="00A92380"/>
    <w:rsid w:val="00B164A8"/>
    <w:rsid w:val="00C847B7"/>
    <w:rsid w:val="00EC48D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AD1A"/>
  <w15:chartTrackingRefBased/>
  <w15:docId w15:val="{9C31A858-86B2-8942-AB9E-5353C07C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4D55"/>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661F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8A13A7"/>
    <w:pPr>
      <w:spacing w:before="100" w:beforeAutospacing="1" w:after="100" w:afterAutospacing="1"/>
      <w:outlineLvl w:val="4"/>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A13A7"/>
    <w:rPr>
      <w:rFonts w:ascii="Times New Roman" w:eastAsia="Times New Roman" w:hAnsi="Times New Roman" w:cs="Times New Roman"/>
      <w:b/>
      <w:bCs/>
      <w:sz w:val="20"/>
      <w:szCs w:val="20"/>
      <w:lang w:eastAsia="es-ES_tradnl"/>
    </w:rPr>
  </w:style>
  <w:style w:type="paragraph" w:customStyle="1" w:styleId="parrafo">
    <w:name w:val="parrafo"/>
    <w:basedOn w:val="Normal"/>
    <w:rsid w:val="008A13A7"/>
    <w:pPr>
      <w:spacing w:before="100" w:beforeAutospacing="1" w:after="100" w:afterAutospacing="1"/>
    </w:pPr>
  </w:style>
  <w:style w:type="paragraph" w:customStyle="1" w:styleId="parrafo2">
    <w:name w:val="parrafo_2"/>
    <w:basedOn w:val="Normal"/>
    <w:rsid w:val="0003566E"/>
    <w:pPr>
      <w:spacing w:before="100" w:beforeAutospacing="1" w:after="100" w:afterAutospacing="1"/>
    </w:pPr>
  </w:style>
  <w:style w:type="paragraph" w:styleId="Prrafodelista">
    <w:name w:val="List Paragraph"/>
    <w:basedOn w:val="Normal"/>
    <w:uiPriority w:val="34"/>
    <w:qFormat/>
    <w:rsid w:val="00A92380"/>
    <w:pPr>
      <w:ind w:left="720"/>
      <w:contextualSpacing/>
    </w:pPr>
    <w:rPr>
      <w:rFonts w:asciiTheme="minorHAnsi" w:eastAsiaTheme="minorHAnsi" w:hAnsiTheme="minorHAnsi" w:cstheme="minorBidi"/>
      <w:lang w:eastAsia="en-US"/>
    </w:rPr>
  </w:style>
  <w:style w:type="character" w:customStyle="1" w:styleId="Ttulo1Car">
    <w:name w:val="Título 1 Car"/>
    <w:basedOn w:val="Fuentedeprrafopredeter"/>
    <w:link w:val="Ttulo1"/>
    <w:uiPriority w:val="9"/>
    <w:rsid w:val="00661F24"/>
    <w:rPr>
      <w:rFonts w:asciiTheme="majorHAnsi" w:eastAsiaTheme="majorEastAsia" w:hAnsiTheme="majorHAnsi" w:cstheme="majorBidi"/>
      <w:color w:val="2F5496" w:themeColor="accent1" w:themeShade="BF"/>
      <w:sz w:val="32"/>
      <w:szCs w:val="3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8954">
      <w:bodyDiv w:val="1"/>
      <w:marLeft w:val="0"/>
      <w:marRight w:val="0"/>
      <w:marTop w:val="0"/>
      <w:marBottom w:val="0"/>
      <w:divBdr>
        <w:top w:val="none" w:sz="0" w:space="0" w:color="auto"/>
        <w:left w:val="none" w:sz="0" w:space="0" w:color="auto"/>
        <w:bottom w:val="none" w:sz="0" w:space="0" w:color="auto"/>
        <w:right w:val="none" w:sz="0" w:space="0" w:color="auto"/>
      </w:divBdr>
      <w:divsChild>
        <w:div w:id="1640918497">
          <w:marLeft w:val="0"/>
          <w:marRight w:val="0"/>
          <w:marTop w:val="0"/>
          <w:marBottom w:val="0"/>
          <w:divBdr>
            <w:top w:val="none" w:sz="0" w:space="0" w:color="auto"/>
            <w:left w:val="none" w:sz="0" w:space="0" w:color="auto"/>
            <w:bottom w:val="none" w:sz="0" w:space="0" w:color="auto"/>
            <w:right w:val="none" w:sz="0" w:space="0" w:color="auto"/>
          </w:divBdr>
        </w:div>
      </w:divsChild>
    </w:div>
    <w:div w:id="111360447">
      <w:bodyDiv w:val="1"/>
      <w:marLeft w:val="0"/>
      <w:marRight w:val="0"/>
      <w:marTop w:val="0"/>
      <w:marBottom w:val="0"/>
      <w:divBdr>
        <w:top w:val="none" w:sz="0" w:space="0" w:color="auto"/>
        <w:left w:val="none" w:sz="0" w:space="0" w:color="auto"/>
        <w:bottom w:val="none" w:sz="0" w:space="0" w:color="auto"/>
        <w:right w:val="none" w:sz="0" w:space="0" w:color="auto"/>
      </w:divBdr>
    </w:div>
    <w:div w:id="209656830">
      <w:bodyDiv w:val="1"/>
      <w:marLeft w:val="0"/>
      <w:marRight w:val="0"/>
      <w:marTop w:val="0"/>
      <w:marBottom w:val="0"/>
      <w:divBdr>
        <w:top w:val="none" w:sz="0" w:space="0" w:color="auto"/>
        <w:left w:val="none" w:sz="0" w:space="0" w:color="auto"/>
        <w:bottom w:val="none" w:sz="0" w:space="0" w:color="auto"/>
        <w:right w:val="none" w:sz="0" w:space="0" w:color="auto"/>
      </w:divBdr>
    </w:div>
    <w:div w:id="528221982">
      <w:bodyDiv w:val="1"/>
      <w:marLeft w:val="0"/>
      <w:marRight w:val="0"/>
      <w:marTop w:val="0"/>
      <w:marBottom w:val="0"/>
      <w:divBdr>
        <w:top w:val="none" w:sz="0" w:space="0" w:color="auto"/>
        <w:left w:val="none" w:sz="0" w:space="0" w:color="auto"/>
        <w:bottom w:val="none" w:sz="0" w:space="0" w:color="auto"/>
        <w:right w:val="none" w:sz="0" w:space="0" w:color="auto"/>
      </w:divBdr>
    </w:div>
    <w:div w:id="592518818">
      <w:bodyDiv w:val="1"/>
      <w:marLeft w:val="0"/>
      <w:marRight w:val="0"/>
      <w:marTop w:val="0"/>
      <w:marBottom w:val="0"/>
      <w:divBdr>
        <w:top w:val="none" w:sz="0" w:space="0" w:color="auto"/>
        <w:left w:val="none" w:sz="0" w:space="0" w:color="auto"/>
        <w:bottom w:val="none" w:sz="0" w:space="0" w:color="auto"/>
        <w:right w:val="none" w:sz="0" w:space="0" w:color="auto"/>
      </w:divBdr>
    </w:div>
    <w:div w:id="609750887">
      <w:bodyDiv w:val="1"/>
      <w:marLeft w:val="0"/>
      <w:marRight w:val="0"/>
      <w:marTop w:val="0"/>
      <w:marBottom w:val="0"/>
      <w:divBdr>
        <w:top w:val="none" w:sz="0" w:space="0" w:color="auto"/>
        <w:left w:val="none" w:sz="0" w:space="0" w:color="auto"/>
        <w:bottom w:val="none" w:sz="0" w:space="0" w:color="auto"/>
        <w:right w:val="none" w:sz="0" w:space="0" w:color="auto"/>
      </w:divBdr>
    </w:div>
    <w:div w:id="625893411">
      <w:bodyDiv w:val="1"/>
      <w:marLeft w:val="0"/>
      <w:marRight w:val="0"/>
      <w:marTop w:val="0"/>
      <w:marBottom w:val="0"/>
      <w:divBdr>
        <w:top w:val="none" w:sz="0" w:space="0" w:color="auto"/>
        <w:left w:val="none" w:sz="0" w:space="0" w:color="auto"/>
        <w:bottom w:val="none" w:sz="0" w:space="0" w:color="auto"/>
        <w:right w:val="none" w:sz="0" w:space="0" w:color="auto"/>
      </w:divBdr>
    </w:div>
    <w:div w:id="777067341">
      <w:bodyDiv w:val="1"/>
      <w:marLeft w:val="0"/>
      <w:marRight w:val="0"/>
      <w:marTop w:val="0"/>
      <w:marBottom w:val="0"/>
      <w:divBdr>
        <w:top w:val="none" w:sz="0" w:space="0" w:color="auto"/>
        <w:left w:val="none" w:sz="0" w:space="0" w:color="auto"/>
        <w:bottom w:val="none" w:sz="0" w:space="0" w:color="auto"/>
        <w:right w:val="none" w:sz="0" w:space="0" w:color="auto"/>
      </w:divBdr>
    </w:div>
    <w:div w:id="961158557">
      <w:bodyDiv w:val="1"/>
      <w:marLeft w:val="0"/>
      <w:marRight w:val="0"/>
      <w:marTop w:val="0"/>
      <w:marBottom w:val="0"/>
      <w:divBdr>
        <w:top w:val="none" w:sz="0" w:space="0" w:color="auto"/>
        <w:left w:val="none" w:sz="0" w:space="0" w:color="auto"/>
        <w:bottom w:val="none" w:sz="0" w:space="0" w:color="auto"/>
        <w:right w:val="none" w:sz="0" w:space="0" w:color="auto"/>
      </w:divBdr>
    </w:div>
    <w:div w:id="995844260">
      <w:bodyDiv w:val="1"/>
      <w:marLeft w:val="0"/>
      <w:marRight w:val="0"/>
      <w:marTop w:val="0"/>
      <w:marBottom w:val="0"/>
      <w:divBdr>
        <w:top w:val="none" w:sz="0" w:space="0" w:color="auto"/>
        <w:left w:val="none" w:sz="0" w:space="0" w:color="auto"/>
        <w:bottom w:val="none" w:sz="0" w:space="0" w:color="auto"/>
        <w:right w:val="none" w:sz="0" w:space="0" w:color="auto"/>
      </w:divBdr>
    </w:div>
    <w:div w:id="1024791753">
      <w:bodyDiv w:val="1"/>
      <w:marLeft w:val="0"/>
      <w:marRight w:val="0"/>
      <w:marTop w:val="0"/>
      <w:marBottom w:val="0"/>
      <w:divBdr>
        <w:top w:val="none" w:sz="0" w:space="0" w:color="auto"/>
        <w:left w:val="none" w:sz="0" w:space="0" w:color="auto"/>
        <w:bottom w:val="none" w:sz="0" w:space="0" w:color="auto"/>
        <w:right w:val="none" w:sz="0" w:space="0" w:color="auto"/>
      </w:divBdr>
    </w:div>
    <w:div w:id="1191455150">
      <w:bodyDiv w:val="1"/>
      <w:marLeft w:val="0"/>
      <w:marRight w:val="0"/>
      <w:marTop w:val="0"/>
      <w:marBottom w:val="0"/>
      <w:divBdr>
        <w:top w:val="none" w:sz="0" w:space="0" w:color="auto"/>
        <w:left w:val="none" w:sz="0" w:space="0" w:color="auto"/>
        <w:bottom w:val="none" w:sz="0" w:space="0" w:color="auto"/>
        <w:right w:val="none" w:sz="0" w:space="0" w:color="auto"/>
      </w:divBdr>
    </w:div>
    <w:div w:id="1212110080">
      <w:bodyDiv w:val="1"/>
      <w:marLeft w:val="0"/>
      <w:marRight w:val="0"/>
      <w:marTop w:val="0"/>
      <w:marBottom w:val="0"/>
      <w:divBdr>
        <w:top w:val="none" w:sz="0" w:space="0" w:color="auto"/>
        <w:left w:val="none" w:sz="0" w:space="0" w:color="auto"/>
        <w:bottom w:val="none" w:sz="0" w:space="0" w:color="auto"/>
        <w:right w:val="none" w:sz="0" w:space="0" w:color="auto"/>
      </w:divBdr>
      <w:divsChild>
        <w:div w:id="1698234997">
          <w:marLeft w:val="0"/>
          <w:marRight w:val="0"/>
          <w:marTop w:val="0"/>
          <w:marBottom w:val="0"/>
          <w:divBdr>
            <w:top w:val="none" w:sz="0" w:space="0" w:color="auto"/>
            <w:left w:val="none" w:sz="0" w:space="0" w:color="auto"/>
            <w:bottom w:val="none" w:sz="0" w:space="0" w:color="auto"/>
            <w:right w:val="none" w:sz="0" w:space="0" w:color="auto"/>
          </w:divBdr>
        </w:div>
      </w:divsChild>
    </w:div>
    <w:div w:id="1237591708">
      <w:bodyDiv w:val="1"/>
      <w:marLeft w:val="0"/>
      <w:marRight w:val="0"/>
      <w:marTop w:val="0"/>
      <w:marBottom w:val="0"/>
      <w:divBdr>
        <w:top w:val="none" w:sz="0" w:space="0" w:color="auto"/>
        <w:left w:val="none" w:sz="0" w:space="0" w:color="auto"/>
        <w:bottom w:val="none" w:sz="0" w:space="0" w:color="auto"/>
        <w:right w:val="none" w:sz="0" w:space="0" w:color="auto"/>
      </w:divBdr>
      <w:divsChild>
        <w:div w:id="1268808881">
          <w:marLeft w:val="0"/>
          <w:marRight w:val="0"/>
          <w:marTop w:val="0"/>
          <w:marBottom w:val="0"/>
          <w:divBdr>
            <w:top w:val="none" w:sz="0" w:space="0" w:color="auto"/>
            <w:left w:val="none" w:sz="0" w:space="0" w:color="auto"/>
            <w:bottom w:val="none" w:sz="0" w:space="0" w:color="auto"/>
            <w:right w:val="none" w:sz="0" w:space="0" w:color="auto"/>
          </w:divBdr>
        </w:div>
      </w:divsChild>
    </w:div>
    <w:div w:id="1333801313">
      <w:bodyDiv w:val="1"/>
      <w:marLeft w:val="0"/>
      <w:marRight w:val="0"/>
      <w:marTop w:val="0"/>
      <w:marBottom w:val="0"/>
      <w:divBdr>
        <w:top w:val="none" w:sz="0" w:space="0" w:color="auto"/>
        <w:left w:val="none" w:sz="0" w:space="0" w:color="auto"/>
        <w:bottom w:val="none" w:sz="0" w:space="0" w:color="auto"/>
        <w:right w:val="none" w:sz="0" w:space="0" w:color="auto"/>
      </w:divBdr>
    </w:div>
    <w:div w:id="1397358802">
      <w:bodyDiv w:val="1"/>
      <w:marLeft w:val="0"/>
      <w:marRight w:val="0"/>
      <w:marTop w:val="0"/>
      <w:marBottom w:val="0"/>
      <w:divBdr>
        <w:top w:val="none" w:sz="0" w:space="0" w:color="auto"/>
        <w:left w:val="none" w:sz="0" w:space="0" w:color="auto"/>
        <w:bottom w:val="none" w:sz="0" w:space="0" w:color="auto"/>
        <w:right w:val="none" w:sz="0" w:space="0" w:color="auto"/>
      </w:divBdr>
    </w:div>
    <w:div w:id="1558783588">
      <w:bodyDiv w:val="1"/>
      <w:marLeft w:val="0"/>
      <w:marRight w:val="0"/>
      <w:marTop w:val="0"/>
      <w:marBottom w:val="0"/>
      <w:divBdr>
        <w:top w:val="none" w:sz="0" w:space="0" w:color="auto"/>
        <w:left w:val="none" w:sz="0" w:space="0" w:color="auto"/>
        <w:bottom w:val="none" w:sz="0" w:space="0" w:color="auto"/>
        <w:right w:val="none" w:sz="0" w:space="0" w:color="auto"/>
      </w:divBdr>
    </w:div>
    <w:div w:id="1573738810">
      <w:bodyDiv w:val="1"/>
      <w:marLeft w:val="0"/>
      <w:marRight w:val="0"/>
      <w:marTop w:val="0"/>
      <w:marBottom w:val="0"/>
      <w:divBdr>
        <w:top w:val="none" w:sz="0" w:space="0" w:color="auto"/>
        <w:left w:val="none" w:sz="0" w:space="0" w:color="auto"/>
        <w:bottom w:val="none" w:sz="0" w:space="0" w:color="auto"/>
        <w:right w:val="none" w:sz="0" w:space="0" w:color="auto"/>
      </w:divBdr>
    </w:div>
    <w:div w:id="1592003937">
      <w:bodyDiv w:val="1"/>
      <w:marLeft w:val="0"/>
      <w:marRight w:val="0"/>
      <w:marTop w:val="0"/>
      <w:marBottom w:val="0"/>
      <w:divBdr>
        <w:top w:val="none" w:sz="0" w:space="0" w:color="auto"/>
        <w:left w:val="none" w:sz="0" w:space="0" w:color="auto"/>
        <w:bottom w:val="none" w:sz="0" w:space="0" w:color="auto"/>
        <w:right w:val="none" w:sz="0" w:space="0" w:color="auto"/>
      </w:divBdr>
    </w:div>
    <w:div w:id="1762143599">
      <w:bodyDiv w:val="1"/>
      <w:marLeft w:val="0"/>
      <w:marRight w:val="0"/>
      <w:marTop w:val="0"/>
      <w:marBottom w:val="0"/>
      <w:divBdr>
        <w:top w:val="none" w:sz="0" w:space="0" w:color="auto"/>
        <w:left w:val="none" w:sz="0" w:space="0" w:color="auto"/>
        <w:bottom w:val="none" w:sz="0" w:space="0" w:color="auto"/>
        <w:right w:val="none" w:sz="0" w:space="0" w:color="auto"/>
      </w:divBdr>
    </w:div>
    <w:div w:id="1778403619">
      <w:bodyDiv w:val="1"/>
      <w:marLeft w:val="0"/>
      <w:marRight w:val="0"/>
      <w:marTop w:val="0"/>
      <w:marBottom w:val="0"/>
      <w:divBdr>
        <w:top w:val="none" w:sz="0" w:space="0" w:color="auto"/>
        <w:left w:val="none" w:sz="0" w:space="0" w:color="auto"/>
        <w:bottom w:val="none" w:sz="0" w:space="0" w:color="auto"/>
        <w:right w:val="none" w:sz="0" w:space="0" w:color="auto"/>
      </w:divBdr>
    </w:div>
    <w:div w:id="1825006385">
      <w:bodyDiv w:val="1"/>
      <w:marLeft w:val="0"/>
      <w:marRight w:val="0"/>
      <w:marTop w:val="0"/>
      <w:marBottom w:val="0"/>
      <w:divBdr>
        <w:top w:val="none" w:sz="0" w:space="0" w:color="auto"/>
        <w:left w:val="none" w:sz="0" w:space="0" w:color="auto"/>
        <w:bottom w:val="none" w:sz="0" w:space="0" w:color="auto"/>
        <w:right w:val="none" w:sz="0" w:space="0" w:color="auto"/>
      </w:divBdr>
      <w:divsChild>
        <w:div w:id="76114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7199</Words>
  <Characters>39598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gimeno feliu</dc:creator>
  <cp:keywords/>
  <dc:description/>
  <cp:lastModifiedBy>jose maria gimeno feliu</cp:lastModifiedBy>
  <cp:revision>3</cp:revision>
  <dcterms:created xsi:type="dcterms:W3CDTF">2021-03-23T10:20:00Z</dcterms:created>
  <dcterms:modified xsi:type="dcterms:W3CDTF">2021-03-23T10:50:00Z</dcterms:modified>
</cp:coreProperties>
</file>